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10"/>
      <w:bookmarkStart w:id="1" w:name="_GoBack"/>
      <w:bookmarkEnd w:id="1"/>
      <w:r w:rsidRPr="000324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носится Правительством</w:t>
      </w:r>
    </w:p>
    <w:p w:rsidR="00721536" w:rsidRPr="000324C9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0324C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  <w:r w:rsidRPr="000324C9">
        <w:rPr>
          <w:rFonts w:ascii="Times New Roman" w:hAnsi="Times New Roman" w:cs="Times New Roman"/>
          <w:sz w:val="28"/>
          <w:szCs w:val="28"/>
        </w:rPr>
        <w:t>Проект</w:t>
      </w:r>
    </w:p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21536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721536" w:rsidRPr="000324C9" w:rsidRDefault="00721536" w:rsidP="00721536">
      <w:pPr>
        <w:ind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B66D42" w:rsidRPr="007067D0" w:rsidRDefault="0075244E">
      <w:pPr>
        <w:pStyle w:val="12"/>
        <w:keepNext/>
        <w:keepLines/>
        <w:shd w:val="clear" w:color="auto" w:fill="auto"/>
        <w:spacing w:after="1139" w:line="280" w:lineRule="exact"/>
        <w:ind w:left="20"/>
        <w:jc w:val="center"/>
        <w:rPr>
          <w:color w:val="auto"/>
        </w:rPr>
      </w:pPr>
      <w:r w:rsidRPr="007067D0">
        <w:rPr>
          <w:color w:val="auto"/>
        </w:rPr>
        <w:t>ФЕДЕРАЛЬНЫЙ ЗАКОН</w:t>
      </w:r>
      <w:bookmarkEnd w:id="0"/>
    </w:p>
    <w:p w:rsidR="00B66D42" w:rsidRPr="007067D0" w:rsidRDefault="0075244E">
      <w:pPr>
        <w:pStyle w:val="12"/>
        <w:keepNext/>
        <w:keepLines/>
        <w:shd w:val="clear" w:color="auto" w:fill="auto"/>
        <w:ind w:left="20"/>
        <w:jc w:val="center"/>
        <w:rPr>
          <w:color w:val="auto"/>
        </w:rPr>
      </w:pPr>
      <w:bookmarkStart w:id="2" w:name="bookmark11"/>
      <w:r w:rsidRPr="007067D0">
        <w:rPr>
          <w:color w:val="auto"/>
        </w:rPr>
        <w:t>О внесении изменений в Градостроительный кодекс</w:t>
      </w:r>
      <w:r w:rsidRPr="007067D0">
        <w:rPr>
          <w:color w:val="auto"/>
        </w:rPr>
        <w:br/>
        <w:t>Российской Федерации и некоторые законодательные акты</w:t>
      </w:r>
      <w:bookmarkEnd w:id="2"/>
    </w:p>
    <w:p w:rsidR="00B66D42" w:rsidRPr="007067D0" w:rsidRDefault="0075244E">
      <w:pPr>
        <w:pStyle w:val="90"/>
        <w:shd w:val="clear" w:color="auto" w:fill="auto"/>
        <w:spacing w:after="343"/>
        <w:ind w:left="20"/>
        <w:jc w:val="center"/>
        <w:rPr>
          <w:color w:val="auto"/>
        </w:rPr>
      </w:pPr>
      <w:r w:rsidRPr="007067D0">
        <w:rPr>
          <w:color w:val="auto"/>
        </w:rPr>
        <w:t>Российской Федерации</w:t>
      </w:r>
    </w:p>
    <w:p w:rsidR="00B66D42" w:rsidRPr="007067D0" w:rsidRDefault="0075244E" w:rsidP="003514F2">
      <w:pPr>
        <w:pStyle w:val="12"/>
        <w:keepNext/>
        <w:keepLines/>
        <w:shd w:val="clear" w:color="auto" w:fill="auto"/>
        <w:spacing w:line="643" w:lineRule="exact"/>
        <w:ind w:firstLine="709"/>
        <w:jc w:val="both"/>
        <w:rPr>
          <w:color w:val="auto"/>
        </w:rPr>
      </w:pPr>
      <w:bookmarkStart w:id="3" w:name="bookmark12"/>
      <w:r w:rsidRPr="007067D0">
        <w:rPr>
          <w:color w:val="auto"/>
        </w:rPr>
        <w:t>Статья 1</w:t>
      </w:r>
      <w:bookmarkEnd w:id="3"/>
    </w:p>
    <w:p w:rsidR="00B66D42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Внести в Градостроительный кодекс Российской Федерации (Собрание законодательства Российской Федерации, 2005, № 1, ст. 16; 2019, № 31, ст. 4453) следующие изменения:</w:t>
      </w:r>
    </w:p>
    <w:p w:rsidR="002233BC" w:rsidRPr="002233BC" w:rsidRDefault="002233BC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2233BC">
        <w:rPr>
          <w:color w:val="auto"/>
        </w:rPr>
        <w:t>в</w:t>
      </w:r>
      <w:r>
        <w:rPr>
          <w:color w:val="auto"/>
        </w:rPr>
        <w:t xml:space="preserve"> части</w:t>
      </w:r>
      <w:r w:rsidRPr="002233BC">
        <w:rPr>
          <w:color w:val="auto"/>
        </w:rPr>
        <w:t xml:space="preserve"> </w:t>
      </w:r>
      <w:r>
        <w:rPr>
          <w:color w:val="auto"/>
        </w:rPr>
        <w:t>1 статьи 6:</w:t>
      </w:r>
    </w:p>
    <w:p w:rsidR="002233BC" w:rsidRDefault="002233BC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а) </w:t>
      </w:r>
      <w:r w:rsidRPr="007067D0">
        <w:rPr>
          <w:color w:val="auto"/>
        </w:rPr>
        <w:t xml:space="preserve">в </w:t>
      </w:r>
      <w:r>
        <w:rPr>
          <w:color w:val="auto"/>
        </w:rPr>
        <w:t>пункте 5.7</w:t>
      </w:r>
      <w:r w:rsidRPr="007067D0">
        <w:rPr>
          <w:color w:val="auto"/>
        </w:rPr>
        <w:t xml:space="preserve"> </w:t>
      </w:r>
      <w:r>
        <w:rPr>
          <w:color w:val="auto"/>
        </w:rPr>
        <w:t xml:space="preserve">исключить </w:t>
      </w:r>
      <w:r w:rsidRPr="007067D0">
        <w:rPr>
          <w:color w:val="auto"/>
        </w:rPr>
        <w:t xml:space="preserve">слова </w:t>
      </w:r>
      <w:r>
        <w:rPr>
          <w:color w:val="auto"/>
        </w:rPr>
        <w:t>«</w:t>
      </w:r>
      <w:r w:rsidRPr="002233BC">
        <w:rPr>
          <w:color w:val="auto"/>
        </w:rPr>
        <w:t>, в том числе порядка продления срока действия квалификационного аттестата на право подготовки заключений экспертизы проектной документации и (или) экспертизы результатов инженерных изысканий</w:t>
      </w:r>
      <w:r>
        <w:rPr>
          <w:color w:val="auto"/>
        </w:rPr>
        <w:t>»;</w:t>
      </w:r>
    </w:p>
    <w:p w:rsidR="002233BC" w:rsidRDefault="002233BC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б) в пункте 5.8 исключить слова «</w:t>
      </w:r>
      <w:r w:rsidRPr="002233BC">
        <w:rPr>
          <w:color w:val="auto"/>
        </w:rPr>
        <w:t>, аннулирование квалификационных аттестатов на право подготовки заключений экспертизы проектной документации и (или) экспертизы р</w:t>
      </w:r>
      <w:r>
        <w:rPr>
          <w:color w:val="auto"/>
        </w:rPr>
        <w:t>езультатов инженерных изысканий»;</w:t>
      </w:r>
    </w:p>
    <w:p w:rsidR="002233BC" w:rsidRPr="002233BC" w:rsidRDefault="002233BC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2233BC">
        <w:rPr>
          <w:color w:val="auto"/>
        </w:rPr>
        <w:t>в</w:t>
      </w:r>
      <w:r>
        <w:rPr>
          <w:color w:val="auto"/>
        </w:rPr>
        <w:t xml:space="preserve"> часть</w:t>
      </w:r>
      <w:r w:rsidRPr="002233BC">
        <w:rPr>
          <w:color w:val="auto"/>
        </w:rPr>
        <w:t xml:space="preserve"> </w:t>
      </w:r>
      <w:r>
        <w:rPr>
          <w:color w:val="auto"/>
        </w:rPr>
        <w:t>4.6 статьи 49 изложить в следующей редакции:</w:t>
      </w:r>
    </w:p>
    <w:p w:rsidR="002233BC" w:rsidRDefault="002233BC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Pr="002233BC">
        <w:rPr>
          <w:color w:val="auto"/>
        </w:rPr>
        <w:t xml:space="preserve">4.6. Подготовку заключений государственной экспертизы проектной </w:t>
      </w:r>
      <w:r w:rsidRPr="002233BC">
        <w:rPr>
          <w:color w:val="auto"/>
        </w:rPr>
        <w:lastRenderedPageBreak/>
        <w:t>документации и (или) государственной экспертизы результатов инженерных изысканий и негосударственной экспертизы проектной документации и (или) негосударственной экспертизы результатов инженерных изысканий вправе осуществлять физические лица, аттестованные в соответствии со статьей 49.1 настоящего Кодекса, по направлению деятельности эксперта, указанному реестре лиц, аттестованных на право подготовки заключений экспертизы проектной документации и (или) экспертизы результатов инженерных изысканий</w:t>
      </w:r>
      <w:r>
        <w:rPr>
          <w:color w:val="auto"/>
        </w:rPr>
        <w:t>.»</w:t>
      </w:r>
    </w:p>
    <w:p w:rsidR="00462070" w:rsidRDefault="00462070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в статье</w:t>
      </w:r>
      <w:r w:rsidR="0075244E" w:rsidRPr="007067D0">
        <w:rPr>
          <w:color w:val="auto"/>
        </w:rPr>
        <w:t xml:space="preserve"> 49.1</w:t>
      </w:r>
    </w:p>
    <w:p w:rsidR="00B66D42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а) часть 2 изложить в следующей редакции:</w:t>
      </w:r>
    </w:p>
    <w:p w:rsidR="00462070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462070">
        <w:rPr>
          <w:color w:val="auto"/>
        </w:rPr>
        <w:t>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проводит аттестацию физических лиц на право подготовки заключений экспертизы проектной документации и (или) экспертизы результатов инженерных изысканий и по итогам этой аттестации принимает решение о включении либо об отказе во включении сведений о физическом лице в реестр лиц, аттестованных на право подготовки заключений экспертизы проектной документации и (или) экспертизы р</w:t>
      </w:r>
      <w:r>
        <w:rPr>
          <w:color w:val="auto"/>
        </w:rPr>
        <w:t>езультатов инженерных изысканий.»;</w:t>
      </w:r>
    </w:p>
    <w:p w:rsidR="00462070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б) признать утратившими силу части 3 и 4;</w:t>
      </w:r>
    </w:p>
    <w:p w:rsidR="00462070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в) в части 5 слова «с</w:t>
      </w:r>
      <w:r w:rsidRPr="00462070">
        <w:rPr>
          <w:color w:val="auto"/>
        </w:rPr>
        <w:t>рок действия квалификационного аттестата</w:t>
      </w:r>
      <w:r>
        <w:rPr>
          <w:color w:val="auto"/>
        </w:rPr>
        <w:t>» заменить словами «с</w:t>
      </w:r>
      <w:r w:rsidRPr="00462070">
        <w:rPr>
          <w:color w:val="auto"/>
        </w:rPr>
        <w:t xml:space="preserve">рок действия </w:t>
      </w:r>
      <w:r>
        <w:rPr>
          <w:color w:val="auto"/>
        </w:rPr>
        <w:t>аттестации»;</w:t>
      </w:r>
    </w:p>
    <w:p w:rsidR="00462070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г) в части 6 исключить слова «</w:t>
      </w:r>
      <w:r w:rsidRPr="00462070">
        <w:rPr>
          <w:color w:val="auto"/>
        </w:rPr>
        <w:t xml:space="preserve">в том числе порядок продления срока действия квалификационного аттестата на право подготовки заключений </w:t>
      </w:r>
      <w:r w:rsidRPr="00462070">
        <w:rPr>
          <w:color w:val="auto"/>
        </w:rPr>
        <w:lastRenderedPageBreak/>
        <w:t>экспертизы проектной документации и (или) экспертизы результатов инженерных изысканий,</w:t>
      </w:r>
      <w:r>
        <w:rPr>
          <w:color w:val="auto"/>
        </w:rPr>
        <w:t>»;</w:t>
      </w:r>
    </w:p>
    <w:p w:rsidR="00462070" w:rsidRDefault="00462070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д.) часть 7 изложить в следующей редакции:</w:t>
      </w:r>
    </w:p>
    <w:p w:rsidR="00814442" w:rsidRPr="00814442" w:rsidRDefault="00462070" w:rsidP="003514F2">
      <w:pPr>
        <w:pStyle w:val="20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«</w:t>
      </w:r>
      <w:r w:rsidR="00814442" w:rsidRPr="00814442">
        <w:rPr>
          <w:color w:val="auto"/>
        </w:rPr>
        <w:t>7. Сведения о физическом</w:t>
      </w:r>
      <w:r w:rsidR="00281FD5">
        <w:rPr>
          <w:color w:val="auto"/>
        </w:rPr>
        <w:t xml:space="preserve"> </w:t>
      </w:r>
      <w:r w:rsidR="00814442" w:rsidRPr="00814442">
        <w:rPr>
          <w:color w:val="auto"/>
        </w:rPr>
        <w:t>лице исключаются из реестра лиц, аттестованных на право подготовки заключений экспертизы проектной документации и (или) экспертизы результатов инженерных изысканий,</w:t>
      </w:r>
      <w:r w:rsidR="00281FD5">
        <w:rPr>
          <w:color w:val="auto"/>
        </w:rPr>
        <w:t xml:space="preserve"> </w:t>
      </w:r>
      <w:r w:rsidR="00814442" w:rsidRPr="00814442">
        <w:rPr>
          <w:color w:val="auto"/>
        </w:rPr>
        <w:t>по следующим основаниям:</w:t>
      </w:r>
    </w:p>
    <w:p w:rsidR="00814442" w:rsidRPr="00814442" w:rsidRDefault="00814442" w:rsidP="003514F2">
      <w:pPr>
        <w:pStyle w:val="20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814442">
        <w:rPr>
          <w:color w:val="auto"/>
        </w:rPr>
        <w:t>1) установление факта участия эксперта в экспертизе при наличии личной заинтересованности в ее результатах, в том числе если в подготовке проектной документации и (или) выполнении инженерных изысканий участвовали эксперт лично или его близкие родственники (родители, дети, усыновители, усыновленные, родные братья и родные сестры, дедушка, бабушка, внуки), супруг;</w:t>
      </w:r>
    </w:p>
    <w:p w:rsidR="00814442" w:rsidRPr="00814442" w:rsidRDefault="00814442" w:rsidP="003514F2">
      <w:pPr>
        <w:pStyle w:val="20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814442">
        <w:rPr>
          <w:color w:val="auto"/>
        </w:rPr>
        <w:t>2) установление факта представления для прохождения аттестации документов, содержащих недостоверные сведения;</w:t>
      </w:r>
    </w:p>
    <w:p w:rsidR="00462070" w:rsidRDefault="00814442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 w:rsidRPr="00814442">
        <w:rPr>
          <w:color w:val="auto"/>
        </w:rPr>
        <w:t>3) вступление в законную силу решения уполномоченных органов о привлечении лица, сведения о котором внесены в реестр реестре лиц, аттестованных на право подготовки заключений экспертизы проектной документации и (или) экспертизы результатов инженерных изысканий, к ответственности за правонарушения в сфере его профессиональной деятельности.</w:t>
      </w:r>
      <w:r w:rsidR="00462070">
        <w:rPr>
          <w:color w:val="auto"/>
        </w:rPr>
        <w:t>»</w:t>
      </w:r>
      <w:r>
        <w:rPr>
          <w:color w:val="auto"/>
        </w:rPr>
        <w:t>;</w:t>
      </w:r>
    </w:p>
    <w:p w:rsidR="00814442" w:rsidRDefault="00814442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е) в пункте 2 части 9 слова «</w:t>
      </w:r>
      <w:r w:rsidRPr="00814442">
        <w:rPr>
          <w:color w:val="auto"/>
        </w:rPr>
        <w:t>выдачи и дата окончания срока действия квалификационного аттестата</w:t>
      </w:r>
      <w:r>
        <w:rPr>
          <w:color w:val="auto"/>
        </w:rPr>
        <w:t>» заменить словами «</w:t>
      </w:r>
      <w:r w:rsidRPr="00814442">
        <w:rPr>
          <w:color w:val="auto"/>
        </w:rPr>
        <w:t xml:space="preserve">прохождения физическим </w:t>
      </w:r>
      <w:r w:rsidRPr="00814442">
        <w:rPr>
          <w:color w:val="auto"/>
        </w:rPr>
        <w:lastRenderedPageBreak/>
        <w:t>лицом аттестации</w:t>
      </w:r>
      <w:r>
        <w:rPr>
          <w:color w:val="auto"/>
        </w:rPr>
        <w:t>»;</w:t>
      </w:r>
    </w:p>
    <w:p w:rsidR="00814442" w:rsidRDefault="00814442" w:rsidP="003514F2">
      <w:pPr>
        <w:pStyle w:val="20"/>
        <w:shd w:val="clear" w:color="auto" w:fill="auto"/>
        <w:tabs>
          <w:tab w:val="left" w:pos="1098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ж) часть 11 признать утратившей силу;</w:t>
      </w:r>
    </w:p>
    <w:p w:rsidR="00B66D42" w:rsidRPr="007067D0" w:rsidRDefault="0075244E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 w:rsidRPr="007067D0">
        <w:rPr>
          <w:color w:val="auto"/>
        </w:rPr>
        <w:t>в статье 50: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а</w:t>
      </w:r>
      <w:r w:rsidR="0075244E" w:rsidRPr="007067D0">
        <w:rPr>
          <w:color w:val="auto"/>
        </w:rPr>
        <w:t>)</w:t>
      </w:r>
      <w:r>
        <w:rPr>
          <w:color w:val="auto"/>
        </w:rPr>
        <w:t xml:space="preserve"> </w:t>
      </w:r>
      <w:r w:rsidR="0075244E" w:rsidRPr="007067D0">
        <w:rPr>
          <w:color w:val="auto"/>
        </w:rPr>
        <w:t>часть 3 признать утратившей силу;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б</w:t>
      </w:r>
      <w:r w:rsidR="0075244E" w:rsidRPr="007067D0">
        <w:rPr>
          <w:color w:val="auto"/>
        </w:rPr>
        <w:t>)</w:t>
      </w:r>
      <w:r>
        <w:rPr>
          <w:color w:val="auto"/>
        </w:rPr>
        <w:t xml:space="preserve"> </w:t>
      </w:r>
      <w:r w:rsidR="0075244E" w:rsidRPr="007067D0">
        <w:rPr>
          <w:color w:val="auto"/>
        </w:rPr>
        <w:t>дополнить частями 3.1 - 3.9 следующего содержания:</w:t>
      </w:r>
    </w:p>
    <w:p w:rsidR="00B66D42" w:rsidRPr="007067D0" w:rsidRDefault="00890800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 xml:space="preserve">3.1. Для получения аккредитации юридическое лицо представляет в федеральный орган исполнительной власти, осуществляющий функции по формированию единой национальной системы аккредитации и осуществлению контроля за деятельностью аккредитованных лиц, заявление об аккредитации, в котором указываются полное и (в случае, если имеется) сокращенное наименования юридического лица, его адрес (место нахождения), номер контактного телефона, идентификационный номер налогоплательщика, вид негосударственной экспертизы, в отношении которого испрашивается аккредитация, адрес сайта юридического лица в сети </w:t>
      </w:r>
      <w:r>
        <w:rPr>
          <w:color w:val="auto"/>
        </w:rPr>
        <w:t>«</w:t>
      </w:r>
      <w:r w:rsidR="0075244E" w:rsidRPr="007067D0">
        <w:rPr>
          <w:color w:val="auto"/>
        </w:rPr>
        <w:t>Интернет</w:t>
      </w:r>
      <w:r>
        <w:rPr>
          <w:color w:val="auto"/>
        </w:rPr>
        <w:t>»</w:t>
      </w:r>
      <w:r w:rsidR="0075244E" w:rsidRPr="007067D0">
        <w:rPr>
          <w:color w:val="auto"/>
        </w:rPr>
        <w:t>, фамилии, имена, отчества не менее 5 работников, имеющих аттестацию на право подготовки заключений экспертизы проектной документации, или не менее 5 работников, имеющих аттестацию на право подготовки заключений экспертизы результатов инженерных изысканий (с указанием реквизитов квалификационных аттестатов), осуществляющих деятельность по трудовому договору с этим юридическим лицом по месту основной работы.</w:t>
      </w:r>
    </w:p>
    <w:p w:rsidR="00814442" w:rsidRDefault="0075244E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 w:rsidRPr="007067D0">
        <w:rPr>
          <w:color w:val="auto"/>
        </w:rPr>
        <w:t>К указанному заявлению прилагается регламент проведения негосударственной экспертизы проектной документации и (или) результатов инженерных изысканий.</w:t>
      </w:r>
    </w:p>
    <w:p w:rsidR="00814442" w:rsidRDefault="00814442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>
        <w:rPr>
          <w:color w:val="auto"/>
        </w:rPr>
        <w:lastRenderedPageBreak/>
        <w:t xml:space="preserve">3.2. </w:t>
      </w:r>
      <w:r w:rsidR="0075244E" w:rsidRPr="007067D0">
        <w:rPr>
          <w:color w:val="auto"/>
        </w:rPr>
        <w:t>Юридическое лицо по собственной инициативе одновременно с заявлением вправе представить выписку из Единого государственного реестра юридических лиц и (или) копии квалификационных аттестатов лиц, указанных в таком заявлении.</w:t>
      </w:r>
    </w:p>
    <w:p w:rsidR="00814442" w:rsidRDefault="00814442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3.3. </w:t>
      </w:r>
      <w:r w:rsidR="0075244E" w:rsidRPr="007067D0">
        <w:rPr>
          <w:color w:val="auto"/>
        </w:rPr>
        <w:t>В случае, если указанные в части 3.2 настоящей статьи документы не представлены юридическим лицом по собственной инициативе, федеральный орган исполнительной власти, осуществляющий функции по формированию единой национальной системы аккредитации и осуществлению контроля за деятельностью аккредитованных лиц, получает необходимые сведения по межведомственному запросу в федеральных органах исполнительной власти, у которых эти сведения находятся в распоряжении в соответствии с нормативными правовыми актами Российской Федерации.</w:t>
      </w:r>
    </w:p>
    <w:p w:rsidR="00814442" w:rsidRDefault="00814442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3.4. </w:t>
      </w:r>
      <w:r w:rsidR="0075244E" w:rsidRPr="007067D0">
        <w:rPr>
          <w:color w:val="auto"/>
        </w:rPr>
        <w:t>Федеральный орган исполнительной власти, осуществляющий функции по формированию единой национальной системы аккредитации и осуществлению контроля за деятельностью аккредитованных лиц в течение 15 рабочих дней с даты получения заявления и документов, предусмотренных частями 3.1 и 3.2 настоящей статьи, принимает решение о выдаче свидетельства об аккредитации или об отказе в аккредитации.</w:t>
      </w:r>
    </w:p>
    <w:p w:rsidR="00B66D42" w:rsidRPr="007067D0" w:rsidRDefault="00814442" w:rsidP="003514F2">
      <w:pPr>
        <w:pStyle w:val="20"/>
        <w:shd w:val="clear" w:color="auto" w:fill="auto"/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3.5. </w:t>
      </w:r>
      <w:r w:rsidR="0075244E" w:rsidRPr="007067D0">
        <w:rPr>
          <w:color w:val="auto"/>
        </w:rPr>
        <w:t>Основанием для отказа в аккредитации являются: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120"/>
        </w:tabs>
        <w:spacing w:before="0" w:line="610" w:lineRule="exact"/>
        <w:ind w:firstLine="709"/>
        <w:rPr>
          <w:color w:val="auto"/>
        </w:rPr>
      </w:pPr>
      <w:r w:rsidRPr="007067D0">
        <w:rPr>
          <w:color w:val="auto"/>
        </w:rPr>
        <w:t>а)</w:t>
      </w:r>
      <w:r w:rsidR="00814442">
        <w:rPr>
          <w:color w:val="auto"/>
        </w:rPr>
        <w:t xml:space="preserve"> </w:t>
      </w:r>
      <w:r w:rsidRPr="007067D0">
        <w:rPr>
          <w:color w:val="auto"/>
        </w:rPr>
        <w:t>наличие в представленных документах недостоверных сведений;</w:t>
      </w:r>
    </w:p>
    <w:p w:rsidR="00814442" w:rsidRDefault="0075244E" w:rsidP="003514F2">
      <w:pPr>
        <w:pStyle w:val="20"/>
        <w:shd w:val="clear" w:color="auto" w:fill="auto"/>
        <w:tabs>
          <w:tab w:val="left" w:pos="1105"/>
        </w:tabs>
        <w:spacing w:before="0" w:line="610" w:lineRule="exact"/>
        <w:ind w:firstLine="709"/>
        <w:rPr>
          <w:color w:val="auto"/>
        </w:rPr>
      </w:pPr>
      <w:r w:rsidRPr="007067D0">
        <w:rPr>
          <w:color w:val="auto"/>
        </w:rPr>
        <w:t>б)</w:t>
      </w:r>
      <w:r w:rsidR="00814442">
        <w:rPr>
          <w:color w:val="auto"/>
        </w:rPr>
        <w:t xml:space="preserve"> </w:t>
      </w:r>
      <w:r w:rsidRPr="007067D0">
        <w:rPr>
          <w:color w:val="auto"/>
        </w:rPr>
        <w:t>несоответствие юридического лица требованиям части 2 настоящей статьи.</w:t>
      </w:r>
    </w:p>
    <w:p w:rsidR="00814442" w:rsidRDefault="00814442" w:rsidP="003514F2">
      <w:pPr>
        <w:pStyle w:val="20"/>
        <w:shd w:val="clear" w:color="auto" w:fill="auto"/>
        <w:tabs>
          <w:tab w:val="left" w:pos="1105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3.6. </w:t>
      </w:r>
      <w:r w:rsidR="0075244E" w:rsidRPr="007067D0">
        <w:rPr>
          <w:color w:val="auto"/>
        </w:rPr>
        <w:t xml:space="preserve">Свидетельство об аккредитации может быть аннулировано </w:t>
      </w:r>
      <w:r w:rsidR="0075244E" w:rsidRPr="007067D0">
        <w:rPr>
          <w:color w:val="auto"/>
        </w:rPr>
        <w:lastRenderedPageBreak/>
        <w:t>или</w:t>
      </w:r>
      <w:r>
        <w:rPr>
          <w:color w:val="auto"/>
        </w:rPr>
        <w:t> </w:t>
      </w:r>
      <w:r w:rsidR="0075244E" w:rsidRPr="007067D0">
        <w:rPr>
          <w:color w:val="auto"/>
        </w:rPr>
        <w:t>действие такого свидетельства может быть приостановлено.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05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3.7. </w:t>
      </w:r>
      <w:r w:rsidR="0075244E" w:rsidRPr="007067D0">
        <w:rPr>
          <w:color w:val="auto"/>
        </w:rPr>
        <w:t>Действие свидетельства об аккредитации может быть приостановлено в случае: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2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а) </w:t>
      </w:r>
      <w:r w:rsidR="0075244E" w:rsidRPr="007067D0">
        <w:rPr>
          <w:color w:val="auto"/>
        </w:rPr>
        <w:t>необоснованного отказа от проведения негосударственной экспертизы;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9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б) </w:t>
      </w:r>
      <w:r w:rsidR="0075244E" w:rsidRPr="007067D0">
        <w:rPr>
          <w:color w:val="auto"/>
        </w:rPr>
        <w:t>поступления из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сведений (информации) о нарушениях, допущенных этим юридическим лицом в сфере полученной аккредитации;</w:t>
      </w:r>
    </w:p>
    <w:p w:rsidR="00814442" w:rsidRDefault="00814442" w:rsidP="003514F2">
      <w:pPr>
        <w:pStyle w:val="20"/>
        <w:shd w:val="clear" w:color="auto" w:fill="auto"/>
        <w:tabs>
          <w:tab w:val="left" w:pos="119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в) </w:t>
      </w:r>
      <w:r w:rsidR="0075244E" w:rsidRPr="007067D0">
        <w:rPr>
          <w:color w:val="auto"/>
        </w:rPr>
        <w:t>выявления несоответствия аккредитованного юридического лица требованиям, установленным частью 2 настоящей статьи.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9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3.8. </w:t>
      </w:r>
      <w:r w:rsidR="0075244E" w:rsidRPr="007067D0">
        <w:rPr>
          <w:color w:val="auto"/>
        </w:rPr>
        <w:t>Основанием для аннулирования свидетельства об аккредитации является: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9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а) </w:t>
      </w:r>
      <w:r w:rsidR="0075244E" w:rsidRPr="007067D0">
        <w:rPr>
          <w:color w:val="auto"/>
        </w:rPr>
        <w:t>ликвидация либо прекращения деятельности аккредитованного юридического лица;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190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б) </w:t>
      </w:r>
      <w:r w:rsidR="0075244E" w:rsidRPr="007067D0">
        <w:rPr>
          <w:color w:val="auto"/>
        </w:rPr>
        <w:t>письменное обращения юридического лица об аннулировании свидетельства об аккредитации;</w:t>
      </w:r>
    </w:p>
    <w:p w:rsidR="00B66D42" w:rsidRPr="007067D0" w:rsidRDefault="00814442" w:rsidP="003514F2">
      <w:pPr>
        <w:pStyle w:val="20"/>
        <w:shd w:val="clear" w:color="auto" w:fill="auto"/>
        <w:tabs>
          <w:tab w:val="left" w:pos="1203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в) </w:t>
      </w:r>
      <w:r w:rsidR="0075244E" w:rsidRPr="007067D0">
        <w:rPr>
          <w:color w:val="auto"/>
        </w:rPr>
        <w:t>неустранение в установленный уполномоченным федеральным органом срок нарушений, повлекших за собой приостановление действия свидетельства об аккредитации;</w:t>
      </w:r>
    </w:p>
    <w:p w:rsidR="00814442" w:rsidRDefault="00814442" w:rsidP="003514F2">
      <w:pPr>
        <w:pStyle w:val="20"/>
        <w:shd w:val="clear" w:color="auto" w:fill="auto"/>
        <w:tabs>
          <w:tab w:val="left" w:pos="1057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г) </w:t>
      </w:r>
      <w:r w:rsidR="0075244E" w:rsidRPr="007067D0">
        <w:rPr>
          <w:color w:val="auto"/>
        </w:rPr>
        <w:t xml:space="preserve">причинение вреда жизни или здоровью физических лиц, имуществу физических или юридических лиц вследствие ошибок, допущенных при подготовке проектной документации или проведении инженерных изысканий </w:t>
      </w:r>
      <w:r w:rsidR="0075244E" w:rsidRPr="007067D0">
        <w:rPr>
          <w:color w:val="auto"/>
        </w:rPr>
        <w:lastRenderedPageBreak/>
        <w:t>при наличии положительного заключения негосударственной экспертизы проектной документации и (или) результатов инженерных изысканий.</w:t>
      </w:r>
    </w:p>
    <w:p w:rsidR="00B66D42" w:rsidRDefault="00814442" w:rsidP="003514F2">
      <w:pPr>
        <w:pStyle w:val="20"/>
        <w:shd w:val="clear" w:color="auto" w:fill="auto"/>
        <w:tabs>
          <w:tab w:val="left" w:pos="1057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3.9. </w:t>
      </w:r>
      <w:r w:rsidR="0075244E" w:rsidRPr="007067D0">
        <w:rPr>
          <w:color w:val="auto"/>
        </w:rPr>
        <w:t xml:space="preserve">В случае аннулирования свидетельства об аккредитации повторное обращение юридического лица за получением свидетельства об аккредитации возможно не ранее чем через 1 год после аннулирования свидетельства об </w:t>
      </w:r>
      <w:r>
        <w:rPr>
          <w:color w:val="auto"/>
        </w:rPr>
        <w:t>аккредитации.»;</w:t>
      </w:r>
    </w:p>
    <w:p w:rsidR="00814442" w:rsidRPr="007067D0" w:rsidRDefault="003514F2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>в части</w:t>
      </w:r>
      <w:r w:rsidR="00814442">
        <w:rPr>
          <w:color w:val="auto"/>
        </w:rPr>
        <w:t xml:space="preserve"> 9 статьи</w:t>
      </w:r>
      <w:r>
        <w:rPr>
          <w:color w:val="auto"/>
        </w:rPr>
        <w:t xml:space="preserve"> 50 исключить слова «</w:t>
      </w:r>
      <w:r w:rsidRPr="003514F2">
        <w:rPr>
          <w:color w:val="auto"/>
        </w:rPr>
        <w:t>, а также стандартам на 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утвержденным соответствующим Национальным объединением саморегулируемых организаций</w:t>
      </w:r>
      <w:r>
        <w:rPr>
          <w:color w:val="auto"/>
        </w:rPr>
        <w:t>»;</w:t>
      </w:r>
    </w:p>
    <w:p w:rsidR="00B66D42" w:rsidRPr="007067D0" w:rsidRDefault="0075244E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 w:rsidRPr="007067D0">
        <w:rPr>
          <w:color w:val="auto"/>
        </w:rPr>
        <w:t>в статье 55.5-1: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203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а)</w:t>
      </w:r>
      <w:r w:rsidR="003514F2">
        <w:rPr>
          <w:color w:val="auto"/>
        </w:rPr>
        <w:t xml:space="preserve"> </w:t>
      </w:r>
      <w:r w:rsidRPr="007067D0">
        <w:rPr>
          <w:color w:val="auto"/>
        </w:rPr>
        <w:t xml:space="preserve">пункт 1 части 6 дополнить </w:t>
      </w:r>
      <w:r w:rsidR="003514F2">
        <w:rPr>
          <w:color w:val="auto"/>
        </w:rPr>
        <w:t>словами «</w:t>
      </w:r>
      <w:r w:rsidR="0019655E" w:rsidRPr="007067D0">
        <w:rPr>
          <w:color w:val="auto"/>
        </w:rPr>
        <w:t>или</w:t>
      </w:r>
      <w:r w:rsidRPr="007067D0">
        <w:rPr>
          <w:color w:val="auto"/>
        </w:rPr>
        <w:t xml:space="preserve"> наличие высшего технического образования и профессиональной переподготовки по специальности, направлению подготовки в области строительства по типовым дополнительным профессиональным программам, реализуем</w:t>
      </w:r>
      <w:r w:rsidR="003514F2">
        <w:rPr>
          <w:color w:val="auto"/>
        </w:rPr>
        <w:t>ым образовательной организацией»</w:t>
      </w:r>
      <w:r w:rsidRPr="007067D0">
        <w:rPr>
          <w:color w:val="auto"/>
        </w:rPr>
        <w:t>;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111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б)</w:t>
      </w:r>
      <w:r w:rsidR="003514F2">
        <w:rPr>
          <w:color w:val="auto"/>
        </w:rPr>
        <w:t xml:space="preserve"> </w:t>
      </w:r>
      <w:r w:rsidRPr="007067D0">
        <w:rPr>
          <w:color w:val="auto"/>
        </w:rPr>
        <w:t>часть 7 изложить в следующей редакции:</w:t>
      </w:r>
    </w:p>
    <w:p w:rsidR="00B66D42" w:rsidRDefault="003514F2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 xml:space="preserve">7. Принятие решения о включении сведений о физическом лице в национальный реестр или об отказе во включении сведений о физическом лице в национальный реестр осуществляется соответствующим Национальным объединением саморегулируемых организаций в течение десяти рабочих дней со дня поступления заявления и документов от физического лица, подтверждающих его соответствие минимальным требованиям, установленным частью 6 </w:t>
      </w:r>
      <w:r w:rsidR="0075244E" w:rsidRPr="007067D0">
        <w:rPr>
          <w:color w:val="auto"/>
        </w:rPr>
        <w:lastRenderedPageBreak/>
        <w:t>наст</w:t>
      </w:r>
      <w:r>
        <w:rPr>
          <w:color w:val="auto"/>
        </w:rPr>
        <w:t>оящей статьи.»</w:t>
      </w:r>
    </w:p>
    <w:p w:rsidR="003514F2" w:rsidRDefault="003514F2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в) </w:t>
      </w:r>
      <w:r w:rsidRPr="007067D0">
        <w:rPr>
          <w:color w:val="auto"/>
        </w:rPr>
        <w:t>часть 13 изложить в следующей редакции:</w:t>
      </w:r>
    </w:p>
    <w:p w:rsidR="003514F2" w:rsidRDefault="003514F2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«13. </w:t>
      </w:r>
      <w:r w:rsidRPr="003514F2">
        <w:rPr>
          <w:color w:val="auto"/>
        </w:rPr>
        <w:t>Перечень направлений подготовки в обла</w:t>
      </w:r>
      <w:r>
        <w:rPr>
          <w:color w:val="auto"/>
        </w:rPr>
        <w:t xml:space="preserve">сти строительства утверждается </w:t>
      </w:r>
      <w:r w:rsidRPr="003514F2">
        <w:rPr>
          <w:color w:val="auto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>
        <w:rPr>
          <w:color w:val="auto"/>
        </w:rPr>
        <w:t>»;</w:t>
      </w:r>
    </w:p>
    <w:p w:rsidR="003514F2" w:rsidRDefault="003514F2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>
        <w:rPr>
          <w:color w:val="auto"/>
        </w:rPr>
        <w:t xml:space="preserve">в </w:t>
      </w:r>
      <w:r w:rsidR="001E291E" w:rsidRPr="003514F2">
        <w:rPr>
          <w:color w:val="auto"/>
        </w:rPr>
        <w:t>пункт</w:t>
      </w:r>
      <w:r>
        <w:rPr>
          <w:color w:val="auto"/>
        </w:rPr>
        <w:t>е</w:t>
      </w:r>
      <w:r w:rsidR="001E291E" w:rsidRPr="003514F2">
        <w:rPr>
          <w:color w:val="auto"/>
        </w:rPr>
        <w:t xml:space="preserve"> 1 части 2 статьи 55.13 слова </w:t>
      </w:r>
      <w:r w:rsidR="00890800" w:rsidRPr="003514F2">
        <w:rPr>
          <w:color w:val="auto"/>
        </w:rPr>
        <w:t>«</w:t>
      </w:r>
      <w:r w:rsidR="001E291E" w:rsidRPr="003514F2">
        <w:rPr>
          <w:color w:val="auto"/>
        </w:rPr>
        <w:t>, включая соблюдение членами саморегулируемой организации требований, установленных в стандартах на</w:t>
      </w:r>
      <w:r>
        <w:rPr>
          <w:color w:val="auto"/>
        </w:rPr>
        <w:t> </w:t>
      </w:r>
      <w:r w:rsidR="001E291E" w:rsidRPr="003514F2">
        <w:rPr>
          <w:color w:val="auto"/>
        </w:rPr>
        <w:t>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соответствующим Национальным объединением саморегулируемых организаций</w:t>
      </w:r>
      <w:r w:rsidR="00890800" w:rsidRPr="003514F2">
        <w:rPr>
          <w:color w:val="auto"/>
        </w:rPr>
        <w:t>»</w:t>
      </w:r>
      <w:r w:rsidR="001E291E" w:rsidRPr="003514F2">
        <w:rPr>
          <w:color w:val="auto"/>
        </w:rPr>
        <w:t xml:space="preserve"> исключить</w:t>
      </w:r>
      <w:r w:rsidR="00105872" w:rsidRPr="003514F2">
        <w:rPr>
          <w:color w:val="auto"/>
        </w:rPr>
        <w:t>;</w:t>
      </w:r>
    </w:p>
    <w:p w:rsidR="003514F2" w:rsidRDefault="001E291E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3514F2">
        <w:rPr>
          <w:color w:val="auto"/>
        </w:rPr>
        <w:t xml:space="preserve"> в части 1 статьи 55.15 слова </w:t>
      </w:r>
      <w:r w:rsidR="00890800" w:rsidRPr="003514F2">
        <w:rPr>
          <w:color w:val="auto"/>
        </w:rPr>
        <w:t>«</w:t>
      </w:r>
      <w:r w:rsidRPr="003514F2">
        <w:rPr>
          <w:color w:val="auto"/>
        </w:rPr>
        <w:t>, обязательных требований стандартов на</w:t>
      </w:r>
      <w:r w:rsidR="003514F2">
        <w:rPr>
          <w:color w:val="auto"/>
        </w:rPr>
        <w:t> </w:t>
      </w:r>
      <w:r w:rsidRPr="003514F2">
        <w:rPr>
          <w:color w:val="auto"/>
        </w:rPr>
        <w:t>процессы выполнения работ по инженерным изысканиям, подготовке проектной документации, строительству, реконструкции, капитальному ремонту, сносу объектов капитального строительства, утвержденных соответствующим Национальным объединением саморегулируемых организаций, стандартов саморегулируемой организации и внутренних документов саморегулируемой организации,</w:t>
      </w:r>
      <w:r w:rsidR="00890800" w:rsidRPr="003514F2">
        <w:rPr>
          <w:color w:val="auto"/>
        </w:rPr>
        <w:t>»</w:t>
      </w:r>
      <w:r w:rsidRPr="003514F2">
        <w:rPr>
          <w:color w:val="auto"/>
        </w:rPr>
        <w:t xml:space="preserve"> исключить;</w:t>
      </w:r>
    </w:p>
    <w:p w:rsidR="00B66D42" w:rsidRPr="003514F2" w:rsidRDefault="0075244E" w:rsidP="003514F2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3514F2">
        <w:rPr>
          <w:color w:val="auto"/>
        </w:rPr>
        <w:t>в статье 55.16:</w:t>
      </w:r>
    </w:p>
    <w:p w:rsidR="00B66D42" w:rsidRPr="007067D0" w:rsidRDefault="003514F2" w:rsidP="003514F2">
      <w:pPr>
        <w:pStyle w:val="20"/>
        <w:shd w:val="clear" w:color="auto" w:fill="auto"/>
        <w:tabs>
          <w:tab w:val="left" w:pos="1085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а) </w:t>
      </w:r>
      <w:r w:rsidR="0075244E" w:rsidRPr="007067D0">
        <w:rPr>
          <w:color w:val="auto"/>
        </w:rPr>
        <w:t xml:space="preserve">часть 14 после слов </w:t>
      </w:r>
      <w:r w:rsidR="00890800">
        <w:rPr>
          <w:color w:val="auto"/>
        </w:rPr>
        <w:t>«</w:t>
      </w:r>
      <w:r w:rsidR="0075244E" w:rsidRPr="007067D0">
        <w:rPr>
          <w:color w:val="auto"/>
        </w:rPr>
        <w:t>организаций средства</w:t>
      </w:r>
      <w:r w:rsidR="00890800">
        <w:rPr>
          <w:color w:val="auto"/>
        </w:rPr>
        <w:t>»</w:t>
      </w:r>
      <w:r w:rsidR="0075244E" w:rsidRPr="007067D0">
        <w:rPr>
          <w:color w:val="auto"/>
        </w:rPr>
        <w:t xml:space="preserve"> дополнить словами</w:t>
      </w:r>
      <w:r w:rsidR="00851699" w:rsidRPr="007067D0">
        <w:rPr>
          <w:color w:val="auto"/>
        </w:rPr>
        <w:t xml:space="preserve"> </w:t>
      </w:r>
      <w:r w:rsidR="00890800">
        <w:rPr>
          <w:color w:val="auto"/>
        </w:rPr>
        <w:lastRenderedPageBreak/>
        <w:t>«</w:t>
      </w:r>
      <w:r w:rsidR="0075244E" w:rsidRPr="007067D0">
        <w:rPr>
          <w:color w:val="auto"/>
        </w:rPr>
        <w:t>компенсационного</w:t>
      </w:r>
      <w:r w:rsidR="00851699" w:rsidRPr="007067D0">
        <w:rPr>
          <w:color w:val="auto"/>
        </w:rPr>
        <w:t xml:space="preserve"> </w:t>
      </w:r>
      <w:r w:rsidR="0075244E" w:rsidRPr="007067D0">
        <w:rPr>
          <w:color w:val="auto"/>
        </w:rPr>
        <w:t>фонда,</w:t>
      </w:r>
      <w:r w:rsidR="00851699" w:rsidRPr="007067D0">
        <w:rPr>
          <w:color w:val="auto"/>
        </w:rPr>
        <w:t xml:space="preserve"> </w:t>
      </w:r>
      <w:r w:rsidR="0075244E" w:rsidRPr="007067D0">
        <w:rPr>
          <w:color w:val="auto"/>
        </w:rPr>
        <w:t>сформированного в соответствии с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>законодательством о градостроительной деятельности, действовавшим до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>4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>июля 2016 года,</w:t>
      </w:r>
      <w:r w:rsidR="00890800">
        <w:rPr>
          <w:color w:val="auto"/>
        </w:rPr>
        <w:t>»</w:t>
      </w:r>
      <w:r w:rsidR="0075244E" w:rsidRPr="007067D0">
        <w:rPr>
          <w:color w:val="auto"/>
        </w:rPr>
        <w:t>;</w:t>
      </w:r>
    </w:p>
    <w:p w:rsidR="00B66D42" w:rsidRPr="007067D0" w:rsidRDefault="003514F2" w:rsidP="003514F2">
      <w:pPr>
        <w:pStyle w:val="20"/>
        <w:shd w:val="clear" w:color="auto" w:fill="auto"/>
        <w:tabs>
          <w:tab w:val="left" w:pos="1083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б) </w:t>
      </w:r>
      <w:r w:rsidR="0075244E" w:rsidRPr="007067D0">
        <w:rPr>
          <w:color w:val="auto"/>
        </w:rPr>
        <w:t xml:space="preserve">часть 15 после слов </w:t>
      </w:r>
      <w:r w:rsidR="00890800">
        <w:rPr>
          <w:color w:val="auto"/>
        </w:rPr>
        <w:t>«</w:t>
      </w:r>
      <w:r w:rsidR="0075244E" w:rsidRPr="007067D0">
        <w:rPr>
          <w:color w:val="auto"/>
        </w:rPr>
        <w:t>настоящего Кодекса</w:t>
      </w:r>
      <w:r w:rsidR="00890800">
        <w:rPr>
          <w:color w:val="auto"/>
        </w:rPr>
        <w:t>»</w:t>
      </w:r>
      <w:r w:rsidR="0075244E" w:rsidRPr="007067D0">
        <w:rPr>
          <w:color w:val="auto"/>
        </w:rPr>
        <w:t xml:space="preserve"> дополнить словами </w:t>
      </w:r>
      <w:r w:rsidR="00890800">
        <w:rPr>
          <w:color w:val="auto"/>
        </w:rPr>
        <w:t>«</w:t>
      </w:r>
      <w:r w:rsidR="0075244E" w:rsidRPr="007067D0">
        <w:rPr>
          <w:color w:val="auto"/>
        </w:rPr>
        <w:t xml:space="preserve">, а также в течении одного рабочего дня, следующего за днем зачисления таких средств, информацию об их объеме на своем официальном сайте в информационно-телекоммуникационной сети </w:t>
      </w:r>
      <w:r w:rsidR="00890800">
        <w:rPr>
          <w:color w:val="auto"/>
        </w:rPr>
        <w:t>«</w:t>
      </w:r>
      <w:r w:rsidR="0075244E" w:rsidRPr="007067D0">
        <w:rPr>
          <w:color w:val="auto"/>
        </w:rPr>
        <w:t>Интернет</w:t>
      </w:r>
      <w:r w:rsidR="002233BC">
        <w:rPr>
          <w:color w:val="auto"/>
        </w:rPr>
        <w:t>»</w:t>
      </w:r>
      <w:r w:rsidR="0075244E" w:rsidRPr="007067D0">
        <w:rPr>
          <w:color w:val="auto"/>
        </w:rPr>
        <w:t>;</w:t>
      </w:r>
    </w:p>
    <w:p w:rsidR="00B66D42" w:rsidRPr="007067D0" w:rsidRDefault="00586F6B" w:rsidP="003514F2">
      <w:pPr>
        <w:pStyle w:val="20"/>
        <w:shd w:val="clear" w:color="auto" w:fill="auto"/>
        <w:tabs>
          <w:tab w:val="left" w:pos="1106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в) </w:t>
      </w:r>
      <w:r w:rsidR="0075244E" w:rsidRPr="007067D0">
        <w:rPr>
          <w:color w:val="auto"/>
        </w:rPr>
        <w:t>часть 16 изложить в следующей редакции:</w:t>
      </w:r>
    </w:p>
    <w:p w:rsidR="00B66D42" w:rsidRPr="007067D0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>16. Индивидуальный предприниматель или юридическое лицо в случае исключения сведений о саморегулируемой организации, членами которой они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 xml:space="preserve"> являлись, из государственного реестра саморегулируемых организаций и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>принятия такого индивидуального предпринимателя или такого юридического лица в члены другой саморегулируемой организации вправе обратиться в</w:t>
      </w:r>
      <w:r w:rsidR="00586F6B">
        <w:rPr>
          <w:color w:val="auto"/>
        </w:rPr>
        <w:t> </w:t>
      </w:r>
      <w:r w:rsidR="0075244E" w:rsidRPr="007067D0">
        <w:rPr>
          <w:color w:val="auto"/>
        </w:rPr>
        <w:t>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(компенсационных фондов) на счет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2750"/>
          <w:tab w:val="left" w:pos="4790"/>
          <w:tab w:val="left" w:pos="5750"/>
          <w:tab w:val="left" w:pos="8309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Национальное объединение саморегулируемых организаций отказывает в удовлетворении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заявлений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о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перечислении,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указанных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в части 15 настоящей статьи, в случае:</w:t>
      </w: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lastRenderedPageBreak/>
        <w:t>1) отсутствие сведений об индивидуальном предпринимателе или юридическом лице в реестре членов саморегулируемой организации, сведения о которой исключены из государственного реестра саморегулируемых организаций, или Едином реестре членов саморегулируемых организаций;</w:t>
      </w:r>
    </w:p>
    <w:p w:rsidR="00B66D42" w:rsidRPr="007067D0" w:rsidRDefault="0075244E" w:rsidP="003514F2">
      <w:pPr>
        <w:pStyle w:val="20"/>
        <w:numPr>
          <w:ilvl w:val="0"/>
          <w:numId w:val="23"/>
        </w:numPr>
        <w:shd w:val="clear" w:color="auto" w:fill="auto"/>
        <w:tabs>
          <w:tab w:val="left" w:pos="1071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отсутствие зачисленных на специальный банковский счет (счета) Национального объединения саморегулируемых организаций средств соответствующих компенсационных фондов саморегулируемой организации, сведения о которой исключены из государственного реестра саморегулируемых организаций, в день принятия решения по такому заявлению или отсутствие нераспределенных по ранее поступившим заявлениям о перечислении таких средств компенсационного фонда (фондов);</w:t>
      </w:r>
    </w:p>
    <w:p w:rsidR="00B66D42" w:rsidRPr="007067D0" w:rsidRDefault="0075244E" w:rsidP="003514F2">
      <w:pPr>
        <w:pStyle w:val="20"/>
        <w:numPr>
          <w:ilvl w:val="0"/>
          <w:numId w:val="23"/>
        </w:numPr>
        <w:shd w:val="clear" w:color="auto" w:fill="auto"/>
        <w:tabs>
          <w:tab w:val="left" w:pos="1076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исключение сведений из государственного реестра саморегулируемых организаций сведений о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организации.”;</w:t>
      </w:r>
    </w:p>
    <w:p w:rsidR="00B66D42" w:rsidRPr="007067D0" w:rsidRDefault="00170C0A" w:rsidP="003514F2">
      <w:pPr>
        <w:pStyle w:val="20"/>
        <w:shd w:val="clear" w:color="auto" w:fill="auto"/>
        <w:tabs>
          <w:tab w:val="left" w:pos="1092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г) </w:t>
      </w:r>
      <w:r w:rsidR="0075244E" w:rsidRPr="007067D0">
        <w:rPr>
          <w:color w:val="auto"/>
        </w:rPr>
        <w:t>часть 17 изложить в следующей редакции:</w:t>
      </w:r>
    </w:p>
    <w:p w:rsidR="00B66D42" w:rsidRDefault="00170C0A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>17. По заявлению о перечислении, указанному в части 16 настоящей статьи, средства компенсационного фонда (компенсационных фондов) перечисляются Национальным объединением саморегулируемых организаций в</w:t>
      </w:r>
      <w:r>
        <w:rPr>
          <w:color w:val="auto"/>
        </w:rPr>
        <w:t> </w:t>
      </w:r>
      <w:r w:rsidR="0075244E" w:rsidRPr="007067D0">
        <w:rPr>
          <w:color w:val="auto"/>
        </w:rPr>
        <w:t xml:space="preserve">течение 5 рабочих дней с даты его поступления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</w:t>
      </w:r>
      <w:r w:rsidR="0075244E" w:rsidRPr="007067D0">
        <w:rPr>
          <w:color w:val="auto"/>
        </w:rPr>
        <w:lastRenderedPageBreak/>
        <w:t>саморегулируемой организации, сведения о которой исключены из</w:t>
      </w:r>
      <w:r>
        <w:rPr>
          <w:color w:val="auto"/>
        </w:rPr>
        <w:t> </w:t>
      </w:r>
      <w:r w:rsidR="0075244E" w:rsidRPr="007067D0">
        <w:rPr>
          <w:color w:val="auto"/>
        </w:rPr>
        <w:t>государственного реестра саморегулируемых организаций, но не более взноса, подлежащего уплате таким лицом в соответствующий компенсационный фонд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  <w:r w:rsidR="00890800">
        <w:rPr>
          <w:color w:val="auto"/>
        </w:rPr>
        <w:t>»</w:t>
      </w:r>
      <w:r w:rsidR="0075244E" w:rsidRPr="007067D0">
        <w:rPr>
          <w:color w:val="auto"/>
        </w:rPr>
        <w:t>;</w:t>
      </w:r>
    </w:p>
    <w:p w:rsidR="00B66D42" w:rsidRPr="00170C0A" w:rsidRDefault="0075244E" w:rsidP="00170C0A">
      <w:pPr>
        <w:pStyle w:val="20"/>
        <w:numPr>
          <w:ilvl w:val="0"/>
          <w:numId w:val="20"/>
        </w:numPr>
        <w:shd w:val="clear" w:color="auto" w:fill="auto"/>
        <w:tabs>
          <w:tab w:val="left" w:pos="1111"/>
        </w:tabs>
        <w:spacing w:before="0" w:line="610" w:lineRule="exact"/>
        <w:ind w:firstLine="709"/>
        <w:rPr>
          <w:color w:val="auto"/>
        </w:rPr>
      </w:pPr>
      <w:r w:rsidRPr="00170C0A">
        <w:rPr>
          <w:color w:val="auto"/>
        </w:rPr>
        <w:t>в статье 55.16-1: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097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а)</w:t>
      </w:r>
      <w:r w:rsidR="00170C0A">
        <w:rPr>
          <w:color w:val="auto"/>
        </w:rPr>
        <w:t xml:space="preserve"> </w:t>
      </w:r>
      <w:r w:rsidRPr="007067D0">
        <w:rPr>
          <w:color w:val="auto"/>
        </w:rPr>
        <w:t>часть 1 изложить в следующей редакции:</w:t>
      </w:r>
    </w:p>
    <w:p w:rsidR="00B66D42" w:rsidRPr="007067D0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>1. Средства компенсационного фонда возмещения вреда и</w:t>
      </w:r>
      <w:r w:rsidR="00170C0A">
        <w:rPr>
          <w:color w:val="auto"/>
        </w:rPr>
        <w:t> </w:t>
      </w:r>
      <w:r w:rsidR="0075244E" w:rsidRPr="007067D0">
        <w:rPr>
          <w:color w:val="auto"/>
        </w:rPr>
        <w:t>компенсационного фонда обеспечения договорных обязательств саморегулируемой организации размещаются на специальных банковских счетах, открытых в российских кредитных организациях, имеющих генеральную лицензию Центрального банка Российской Федерации на осуществление банковских операций, а также собственные средства (капитал), размер которых рассчитываемый по методике Центрального банка Российской Федерации не может быть менее 100 млрд. руб. по состоянию на последнюю отчетную дату.</w:t>
      </w: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 xml:space="preserve">Соответствие кредитной организации указанным требованиям подтверждается соответствующей информацией, размещенной на официальном сайте Центрального банка Российской Федерации в информационно-телекоммуникационной сети </w:t>
      </w:r>
      <w:r w:rsidR="00890800">
        <w:rPr>
          <w:color w:val="auto"/>
        </w:rPr>
        <w:t>«</w:t>
      </w:r>
      <w:r w:rsidRPr="007067D0">
        <w:rPr>
          <w:color w:val="auto"/>
        </w:rPr>
        <w:t>Интернет</w:t>
      </w:r>
      <w:r w:rsidR="00890800">
        <w:rPr>
          <w:color w:val="auto"/>
        </w:rPr>
        <w:t>»</w:t>
      </w:r>
      <w:r w:rsidRPr="007067D0">
        <w:rPr>
          <w:color w:val="auto"/>
        </w:rPr>
        <w:t>.</w:t>
      </w: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 xml:space="preserve">Требования абзаца первого настоящей части не применяются в течение срока реализации плана участия Центрального банка Российской Федерации в </w:t>
      </w:r>
      <w:r w:rsidRPr="007067D0">
        <w:rPr>
          <w:color w:val="auto"/>
        </w:rPr>
        <w:lastRenderedPageBreak/>
        <w:t>осуществлении мер по предупреждению банкротства кредитной организации к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3989"/>
          <w:tab w:val="left" w:pos="6014"/>
          <w:tab w:val="left" w:pos="7973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 xml:space="preserve">кредитным организациям, в отношении которых Советом директоров Центрального банка Российской Федерации утвержден в соответствии с Федеральным законом </w:t>
      </w:r>
      <w:r w:rsidR="00890800">
        <w:rPr>
          <w:color w:val="auto"/>
        </w:rPr>
        <w:t>«</w:t>
      </w:r>
      <w:r w:rsidRPr="007067D0">
        <w:rPr>
          <w:color w:val="auto"/>
        </w:rPr>
        <w:t>О несостоятельности (банкротстве)” такой план участия. В течение указанного срока в таких кредитных организациях могут находиться средства компенсационного фонда возмещения вреда и компенсационного фонда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обеспечения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договорных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обязательств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саморегулируемых организаций, размещенные по состоянию на дату принятия Советом директоров Центрального банка Российской Федерации решения о гарантировании непрерывности деятельности данной кредитной организации, а также средства компенсационного фонда возмещения вреда и компенсационного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фонда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обеспечения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договорных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>обязательств</w:t>
      </w:r>
      <w:r w:rsidR="00821899" w:rsidRPr="007067D0">
        <w:rPr>
          <w:color w:val="auto"/>
        </w:rPr>
        <w:t xml:space="preserve"> </w:t>
      </w:r>
      <w:r w:rsidRPr="007067D0">
        <w:rPr>
          <w:color w:val="auto"/>
        </w:rPr>
        <w:t xml:space="preserve">саморегулируемых организаций могут размещаться в таких кредитных организациях без учета указанных требований при условии размещения на официальном сайте Центрального банка Российской Федерации в информационно-телекоммуникационной сета </w:t>
      </w:r>
      <w:r w:rsidR="00890800">
        <w:rPr>
          <w:color w:val="auto"/>
        </w:rPr>
        <w:t>«</w:t>
      </w:r>
      <w:r w:rsidRPr="007067D0">
        <w:rPr>
          <w:color w:val="auto"/>
        </w:rPr>
        <w:t>Интернет</w:t>
      </w:r>
      <w:r w:rsidR="00890800">
        <w:rPr>
          <w:color w:val="auto"/>
        </w:rPr>
        <w:t>»</w:t>
      </w:r>
      <w:r w:rsidRPr="007067D0">
        <w:rPr>
          <w:color w:val="auto"/>
        </w:rPr>
        <w:t xml:space="preserve"> информации о гарантировании Центральным банком Российской Федерации непрерывности деятельности такой кредитной организации.</w:t>
      </w:r>
      <w:r w:rsidR="00890800">
        <w:rPr>
          <w:color w:val="auto"/>
        </w:rPr>
        <w:t>»</w:t>
      </w:r>
      <w:r w:rsidRPr="007067D0">
        <w:rPr>
          <w:color w:val="auto"/>
        </w:rPr>
        <w:t>;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106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б)</w:t>
      </w:r>
      <w:r w:rsidR="000174A1">
        <w:rPr>
          <w:color w:val="auto"/>
        </w:rPr>
        <w:t xml:space="preserve"> </w:t>
      </w:r>
      <w:r w:rsidRPr="007067D0">
        <w:rPr>
          <w:color w:val="auto"/>
        </w:rPr>
        <w:t>часть 6 изложить в следующей редакции:</w:t>
      </w:r>
    </w:p>
    <w:p w:rsidR="00B66D42" w:rsidRPr="007067D0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>6. Права на средства компенсационных фондов саморегулируемой организации, размещенные на специальных банковских счетах, принадлежат владельцу счетов. При исключении саморегулируемой организации из</w:t>
      </w:r>
      <w:r w:rsidR="000174A1">
        <w:rPr>
          <w:color w:val="auto"/>
        </w:rPr>
        <w:t> </w:t>
      </w:r>
      <w:r w:rsidR="0075244E" w:rsidRPr="007067D0">
        <w:rPr>
          <w:color w:val="auto"/>
        </w:rPr>
        <w:t>государственного реестра саморегулируемых организаций права на средства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3077"/>
          <w:tab w:val="left" w:pos="5400"/>
          <w:tab w:val="left" w:pos="8678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lastRenderedPageBreak/>
        <w:t>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организаций, членом которого являлась такая саморегулируемая организация. В этом случае кредитная организация по</w:t>
      </w:r>
      <w:r w:rsidR="000174A1">
        <w:rPr>
          <w:color w:val="auto"/>
        </w:rPr>
        <w:t> </w:t>
      </w:r>
      <w:r w:rsidRPr="007067D0">
        <w:rPr>
          <w:color w:val="auto"/>
        </w:rPr>
        <w:t>требованию о переводе на специальный банковский счет (счета) средств компенсационного фонда возмещения вреда и компенсационного фонда обеспечения договорных обязательств саморегулируемой организации такого Национального объединения саморегулируемых организаций, направленному в</w:t>
      </w:r>
      <w:r w:rsidR="000174A1">
        <w:rPr>
          <w:color w:val="auto"/>
        </w:rPr>
        <w:t> </w:t>
      </w:r>
      <w:r w:rsidRPr="007067D0">
        <w:rPr>
          <w:color w:val="auto"/>
        </w:rPr>
        <w:t>течение одного рабочего дня со дня получения уведомления органа надзора за</w:t>
      </w:r>
      <w:r w:rsidR="000174A1">
        <w:rPr>
          <w:color w:val="auto"/>
        </w:rPr>
        <w:t> </w:t>
      </w:r>
      <w:r w:rsidRPr="007067D0">
        <w:rPr>
          <w:color w:val="auto"/>
        </w:rPr>
        <w:t>саморегулируемыми организациями об исключе</w:t>
      </w:r>
      <w:r w:rsidR="00851699" w:rsidRPr="007067D0">
        <w:rPr>
          <w:color w:val="auto"/>
        </w:rPr>
        <w:t>нии сведений о</w:t>
      </w:r>
      <w:r w:rsidR="000174A1">
        <w:rPr>
          <w:color w:val="auto"/>
        </w:rPr>
        <w:t> </w:t>
      </w:r>
      <w:r w:rsidR="00851699" w:rsidRPr="007067D0">
        <w:rPr>
          <w:color w:val="auto"/>
        </w:rPr>
        <w:t xml:space="preserve">саморегулируемой </w:t>
      </w:r>
      <w:r w:rsidRPr="007067D0">
        <w:rPr>
          <w:color w:val="auto"/>
        </w:rPr>
        <w:t>организации</w:t>
      </w:r>
      <w:r w:rsidR="00851699" w:rsidRPr="007067D0">
        <w:rPr>
          <w:color w:val="auto"/>
        </w:rPr>
        <w:t xml:space="preserve"> </w:t>
      </w:r>
      <w:r w:rsidRPr="007067D0">
        <w:rPr>
          <w:color w:val="auto"/>
        </w:rPr>
        <w:t>из государственного</w:t>
      </w:r>
      <w:r w:rsidR="00851699" w:rsidRPr="007067D0">
        <w:rPr>
          <w:color w:val="auto"/>
        </w:rPr>
        <w:t xml:space="preserve"> </w:t>
      </w:r>
      <w:r w:rsidRPr="007067D0">
        <w:rPr>
          <w:color w:val="auto"/>
        </w:rPr>
        <w:t>реестра</w:t>
      </w:r>
      <w:r w:rsidR="00851699" w:rsidRPr="007067D0">
        <w:rPr>
          <w:color w:val="auto"/>
        </w:rPr>
        <w:t xml:space="preserve"> </w:t>
      </w:r>
      <w:r w:rsidRPr="007067D0">
        <w:rPr>
          <w:color w:val="auto"/>
        </w:rPr>
        <w:t>саморегулируемых организаций переводит средства компенсационного фонда (компенсационных фондов) такой некоммерческой организации на специальный банковский счет (счета) такого Национального объединени</w:t>
      </w:r>
      <w:r w:rsidR="00851699" w:rsidRPr="007067D0">
        <w:rPr>
          <w:color w:val="auto"/>
        </w:rPr>
        <w:t>я саморегулируемых организаций.</w:t>
      </w:r>
      <w:r w:rsidR="00890800">
        <w:rPr>
          <w:color w:val="auto"/>
        </w:rPr>
        <w:t>»</w:t>
      </w:r>
      <w:r w:rsidRPr="007067D0">
        <w:rPr>
          <w:color w:val="auto"/>
        </w:rPr>
        <w:t>:</w:t>
      </w:r>
    </w:p>
    <w:p w:rsidR="00B66D42" w:rsidRPr="007067D0" w:rsidRDefault="0075244E" w:rsidP="003514F2">
      <w:pPr>
        <w:pStyle w:val="20"/>
        <w:shd w:val="clear" w:color="auto" w:fill="auto"/>
        <w:tabs>
          <w:tab w:val="left" w:pos="1106"/>
        </w:tabs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в)</w:t>
      </w:r>
      <w:r w:rsidR="000174A1">
        <w:rPr>
          <w:color w:val="auto"/>
        </w:rPr>
        <w:t xml:space="preserve"> </w:t>
      </w:r>
      <w:r w:rsidRPr="007067D0">
        <w:rPr>
          <w:color w:val="auto"/>
        </w:rPr>
        <w:t>дополнить частью 6.1 следующего содержания:</w:t>
      </w:r>
    </w:p>
    <w:p w:rsidR="00B66D42" w:rsidRPr="007067D0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 xml:space="preserve">6.1. При исключении из государственного реестра саморегулируемых организаций саморегулируемой организации, не разместившей средства сформированного в соответствии с законодательством о градостроительной деятельности, действовавшим до 4 июля 2016 года фонда, или средства компенсационного фонда возмещения вреда и компенсационного фонда обеспечения договорных обязательств на специальном банковском счете, </w:t>
      </w:r>
      <w:r w:rsidR="0075244E" w:rsidRPr="007067D0">
        <w:rPr>
          <w:color w:val="auto"/>
        </w:rPr>
        <w:lastRenderedPageBreak/>
        <w:t>открытом в российской кредитной организации, соответствующей требованиям, установленным частью 1 настоящей статьи, права владельца банковского счета, на котором размещены такие средства, переходят к Национальному объединению саморегулируемых организаций, членом которого являлась такая саморегулируемая организация.</w:t>
      </w:r>
      <w:r>
        <w:rPr>
          <w:color w:val="auto"/>
        </w:rPr>
        <w:t>»</w:t>
      </w:r>
      <w:r w:rsidR="0075244E" w:rsidRPr="007067D0">
        <w:rPr>
          <w:color w:val="auto"/>
        </w:rPr>
        <w:t>;</w:t>
      </w:r>
    </w:p>
    <w:p w:rsidR="00B66D42" w:rsidRPr="007067D0" w:rsidRDefault="000174A1" w:rsidP="003514F2">
      <w:pPr>
        <w:pStyle w:val="20"/>
        <w:shd w:val="clear" w:color="auto" w:fill="auto"/>
        <w:tabs>
          <w:tab w:val="left" w:pos="1072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г) </w:t>
      </w:r>
      <w:r w:rsidR="0075244E" w:rsidRPr="007067D0">
        <w:rPr>
          <w:color w:val="auto"/>
        </w:rPr>
        <w:t>часть 8 изложить в следующей редакции:</w:t>
      </w:r>
    </w:p>
    <w:p w:rsidR="00B66D42" w:rsidRPr="007067D0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>8. Средства компенсационного фонда возмещения вреда в целях сохранения и увеличения их размера размещаются и (или) инвестируются на условиях договора банковского вклада (депозита),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Лимит размещения средств компенсационного фонда возмещения вреда саморегулируемой организации на условиях договора на дату их размещения не может превышать 75 процентов размера средств такого компенсационного фонда, сформированного в соответствии со статьей 55.16 настоящего Кодекса.</w:t>
      </w:r>
    </w:p>
    <w:p w:rsidR="00B66D42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>Размещение и (или)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</w:t>
      </w:r>
      <w:r w:rsidR="000174A1">
        <w:rPr>
          <w:color w:val="auto"/>
        </w:rPr>
        <w:t> </w:t>
      </w:r>
      <w:r w:rsidRPr="007067D0">
        <w:rPr>
          <w:color w:val="auto"/>
        </w:rPr>
        <w:t>соответствии с частью 10 настоящей статьи.</w:t>
      </w:r>
      <w:r w:rsidR="000174A1">
        <w:rPr>
          <w:color w:val="auto"/>
        </w:rPr>
        <w:t>»;</w:t>
      </w:r>
    </w:p>
    <w:p w:rsidR="000174A1" w:rsidRDefault="0075244E" w:rsidP="000174A1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0174A1">
        <w:rPr>
          <w:color w:val="auto"/>
        </w:rPr>
        <w:t xml:space="preserve">часть 12 статьи 55.19 дополнить абзацем следующего содержания: </w:t>
      </w:r>
      <w:r w:rsidR="00890800" w:rsidRPr="000174A1">
        <w:rPr>
          <w:color w:val="auto"/>
        </w:rPr>
        <w:t>«</w:t>
      </w:r>
      <w:r w:rsidRPr="000174A1">
        <w:rPr>
          <w:color w:val="auto"/>
        </w:rPr>
        <w:t>В</w:t>
      </w:r>
      <w:r w:rsidR="000174A1" w:rsidRPr="000174A1">
        <w:rPr>
          <w:color w:val="auto"/>
        </w:rPr>
        <w:t> </w:t>
      </w:r>
      <w:r w:rsidRPr="000174A1">
        <w:rPr>
          <w:color w:val="auto"/>
        </w:rPr>
        <w:t>случае исключения сведений о саморегулируемой организации из</w:t>
      </w:r>
      <w:r w:rsidR="000174A1" w:rsidRPr="000174A1">
        <w:rPr>
          <w:color w:val="auto"/>
        </w:rPr>
        <w:t> </w:t>
      </w:r>
      <w:r w:rsidRPr="000174A1">
        <w:rPr>
          <w:color w:val="auto"/>
        </w:rPr>
        <w:t xml:space="preserve">государственного реестра саморегулируемых организаций орган надзора </w:t>
      </w:r>
      <w:r w:rsidRPr="000174A1">
        <w:rPr>
          <w:color w:val="auto"/>
        </w:rPr>
        <w:lastRenderedPageBreak/>
        <w:t>за</w:t>
      </w:r>
      <w:r w:rsidR="000174A1" w:rsidRPr="000174A1">
        <w:rPr>
          <w:color w:val="auto"/>
        </w:rPr>
        <w:t> </w:t>
      </w:r>
      <w:r w:rsidRPr="000174A1">
        <w:rPr>
          <w:color w:val="auto"/>
        </w:rPr>
        <w:t>саморегулируемыми организациями в течение 3 дней со дня такого исключения направляет уведомление об этом на бумажном носителе или в форме электронного документа в такую саморегулируемую организацию, Национальное объединение саморегулируемых организаций, членом которого являлась саморегулируемая организация, сведения о которой исключены из</w:t>
      </w:r>
      <w:r w:rsidR="000174A1" w:rsidRPr="000174A1">
        <w:rPr>
          <w:color w:val="auto"/>
        </w:rPr>
        <w:t> </w:t>
      </w:r>
      <w:r w:rsidRPr="000174A1">
        <w:rPr>
          <w:color w:val="auto"/>
        </w:rPr>
        <w:t>государственного реестра саморегулируемых организаций, а также в</w:t>
      </w:r>
      <w:r w:rsidR="000174A1" w:rsidRPr="000174A1">
        <w:rPr>
          <w:color w:val="auto"/>
        </w:rPr>
        <w:t> </w:t>
      </w:r>
      <w:r w:rsidRPr="000174A1">
        <w:rPr>
          <w:color w:val="auto"/>
        </w:rPr>
        <w:t>кредитную организацию, в которой размещены средства компенсационного фонда возмещения вреда и компенсационного фонда договорных обязательств саморегулируемой организации.</w:t>
      </w:r>
      <w:r w:rsidR="000174A1">
        <w:rPr>
          <w:color w:val="auto"/>
        </w:rPr>
        <w:t>»;</w:t>
      </w:r>
    </w:p>
    <w:p w:rsidR="000174A1" w:rsidRDefault="0075244E" w:rsidP="000174A1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0174A1">
        <w:rPr>
          <w:color w:val="auto"/>
        </w:rPr>
        <w:t xml:space="preserve">в пункте 8 части 8 статьи 55.20 после слов </w:t>
      </w:r>
      <w:r w:rsidR="00890800" w:rsidRPr="000174A1">
        <w:rPr>
          <w:color w:val="auto"/>
        </w:rPr>
        <w:t>«</w:t>
      </w:r>
      <w:r w:rsidRPr="000174A1">
        <w:rPr>
          <w:color w:val="auto"/>
        </w:rPr>
        <w:t>реестра членов</w:t>
      </w:r>
      <w:r w:rsidR="00851699" w:rsidRPr="000174A1">
        <w:rPr>
          <w:color w:val="auto"/>
        </w:rPr>
        <w:t xml:space="preserve"> </w:t>
      </w:r>
      <w:r w:rsidRPr="000174A1">
        <w:rPr>
          <w:color w:val="auto"/>
        </w:rPr>
        <w:t>саморегулируемых организаций,</w:t>
      </w:r>
      <w:r w:rsidR="00890800" w:rsidRPr="000174A1">
        <w:rPr>
          <w:color w:val="auto"/>
        </w:rPr>
        <w:t>»</w:t>
      </w:r>
      <w:r w:rsidRPr="000174A1">
        <w:rPr>
          <w:color w:val="auto"/>
        </w:rPr>
        <w:t xml:space="preserve"> дополнить словами </w:t>
      </w:r>
      <w:r w:rsidR="00890800" w:rsidRPr="000174A1">
        <w:rPr>
          <w:color w:val="auto"/>
        </w:rPr>
        <w:t>«</w:t>
      </w:r>
      <w:r w:rsidRPr="000174A1">
        <w:rPr>
          <w:color w:val="auto"/>
        </w:rPr>
        <w:t>который должен содержать информацию, указанную в части 2 статьи 55.17 настоящего Кодекса,</w:t>
      </w:r>
      <w:r w:rsidR="00890800" w:rsidRPr="000174A1">
        <w:rPr>
          <w:color w:val="auto"/>
        </w:rPr>
        <w:t>»</w:t>
      </w:r>
      <w:r w:rsidRPr="000174A1">
        <w:rPr>
          <w:color w:val="auto"/>
        </w:rPr>
        <w:t>, слова</w:t>
      </w:r>
      <w:r w:rsidR="00821899" w:rsidRPr="000174A1">
        <w:rPr>
          <w:color w:val="auto"/>
        </w:rPr>
        <w:t xml:space="preserve"> </w:t>
      </w:r>
      <w:r w:rsidR="00890800" w:rsidRPr="000174A1">
        <w:rPr>
          <w:color w:val="auto"/>
        </w:rPr>
        <w:t>«</w:t>
      </w:r>
      <w:r w:rsidRPr="000174A1">
        <w:rPr>
          <w:color w:val="auto"/>
        </w:rPr>
        <w:t>форма которого утверждается органом надзора</w:t>
      </w:r>
      <w:r w:rsidR="00821899" w:rsidRPr="000174A1">
        <w:rPr>
          <w:color w:val="auto"/>
        </w:rPr>
        <w:t xml:space="preserve"> </w:t>
      </w:r>
      <w:r w:rsidRPr="000174A1">
        <w:rPr>
          <w:color w:val="auto"/>
        </w:rPr>
        <w:t>за саморегулируемыми</w:t>
      </w:r>
      <w:r w:rsidR="00821899" w:rsidRPr="000174A1">
        <w:rPr>
          <w:color w:val="auto"/>
        </w:rPr>
        <w:t xml:space="preserve"> </w:t>
      </w:r>
      <w:r w:rsidRPr="000174A1">
        <w:rPr>
          <w:color w:val="auto"/>
        </w:rPr>
        <w:t>организациями</w:t>
      </w:r>
      <w:r w:rsidR="00821899" w:rsidRPr="000174A1">
        <w:rPr>
          <w:color w:val="auto"/>
        </w:rPr>
        <w:t xml:space="preserve"> </w:t>
      </w:r>
      <w:r w:rsidRPr="000174A1">
        <w:rPr>
          <w:color w:val="auto"/>
        </w:rPr>
        <w:t>по</w:t>
      </w:r>
      <w:r w:rsidR="00821899" w:rsidRPr="000174A1">
        <w:rPr>
          <w:color w:val="auto"/>
        </w:rPr>
        <w:t xml:space="preserve"> </w:t>
      </w:r>
      <w:r w:rsidRPr="000174A1">
        <w:rPr>
          <w:color w:val="auto"/>
        </w:rPr>
        <w:t>согласованию</w:t>
      </w:r>
      <w:r w:rsidR="00821899" w:rsidRPr="000174A1">
        <w:rPr>
          <w:color w:val="auto"/>
        </w:rPr>
        <w:t xml:space="preserve"> </w:t>
      </w:r>
      <w:r w:rsidRPr="000174A1">
        <w:rPr>
          <w:color w:val="auto"/>
        </w:rPr>
        <w:t>с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821899" w:rsidRPr="000174A1">
        <w:rPr>
          <w:color w:val="auto"/>
        </w:rPr>
        <w:t>-</w:t>
      </w:r>
      <w:r w:rsidRPr="000174A1">
        <w:rPr>
          <w:color w:val="auto"/>
        </w:rPr>
        <w:t>правовому регулированию в сфере строительства, архитектуры, градостроительства,</w:t>
      </w:r>
      <w:r w:rsidR="00890800" w:rsidRPr="000174A1">
        <w:rPr>
          <w:color w:val="auto"/>
        </w:rPr>
        <w:t>»</w:t>
      </w:r>
      <w:r w:rsidRPr="000174A1">
        <w:rPr>
          <w:color w:val="auto"/>
        </w:rPr>
        <w:t xml:space="preserve"> исключить;</w:t>
      </w:r>
    </w:p>
    <w:p w:rsidR="000174A1" w:rsidRDefault="001E291E" w:rsidP="000174A1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0174A1">
        <w:rPr>
          <w:color w:val="auto"/>
        </w:rPr>
        <w:t>пункт 10 части 8 статьи 55.20 исключить;</w:t>
      </w:r>
    </w:p>
    <w:p w:rsidR="00B66D42" w:rsidRPr="000174A1" w:rsidRDefault="0075244E" w:rsidP="000174A1">
      <w:pPr>
        <w:pStyle w:val="20"/>
        <w:numPr>
          <w:ilvl w:val="0"/>
          <w:numId w:val="20"/>
        </w:numPr>
        <w:shd w:val="clear" w:color="auto" w:fill="auto"/>
        <w:tabs>
          <w:tab w:val="left" w:pos="1104"/>
        </w:tabs>
        <w:spacing w:before="0" w:line="610" w:lineRule="exact"/>
        <w:ind w:firstLine="709"/>
        <w:rPr>
          <w:color w:val="auto"/>
        </w:rPr>
      </w:pPr>
      <w:r w:rsidRPr="000174A1">
        <w:rPr>
          <w:color w:val="auto"/>
        </w:rPr>
        <w:t>в статье 55.23:</w:t>
      </w:r>
    </w:p>
    <w:p w:rsidR="00B66D42" w:rsidRPr="007067D0" w:rsidRDefault="000174A1" w:rsidP="003514F2">
      <w:pPr>
        <w:pStyle w:val="20"/>
        <w:shd w:val="clear" w:color="auto" w:fill="auto"/>
        <w:tabs>
          <w:tab w:val="left" w:pos="1090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 xml:space="preserve">а) </w:t>
      </w:r>
      <w:r w:rsidR="0075244E" w:rsidRPr="007067D0">
        <w:rPr>
          <w:color w:val="auto"/>
        </w:rPr>
        <w:t xml:space="preserve">в части 1 исключить слово </w:t>
      </w:r>
      <w:r w:rsidR="00890800">
        <w:rPr>
          <w:color w:val="auto"/>
        </w:rPr>
        <w:t>«</w:t>
      </w:r>
      <w:r w:rsidR="0075244E" w:rsidRPr="007067D0">
        <w:rPr>
          <w:color w:val="auto"/>
        </w:rPr>
        <w:t>плановых</w:t>
      </w:r>
      <w:r w:rsidR="00890800">
        <w:rPr>
          <w:color w:val="auto"/>
        </w:rPr>
        <w:t>»</w:t>
      </w:r>
      <w:r w:rsidR="0075244E" w:rsidRPr="007067D0">
        <w:rPr>
          <w:color w:val="auto"/>
        </w:rPr>
        <w:t>;</w:t>
      </w:r>
    </w:p>
    <w:p w:rsidR="00B66D42" w:rsidRPr="007067D0" w:rsidRDefault="000174A1" w:rsidP="000174A1">
      <w:pPr>
        <w:pStyle w:val="20"/>
        <w:shd w:val="clear" w:color="auto" w:fill="auto"/>
        <w:tabs>
          <w:tab w:val="left" w:pos="1100"/>
        </w:tabs>
        <w:spacing w:before="0" w:after="240" w:line="643" w:lineRule="exact"/>
        <w:ind w:firstLine="709"/>
        <w:rPr>
          <w:color w:val="auto"/>
        </w:rPr>
      </w:pPr>
      <w:r>
        <w:rPr>
          <w:color w:val="auto"/>
        </w:rPr>
        <w:t xml:space="preserve">б) </w:t>
      </w:r>
      <w:r w:rsidR="0075244E" w:rsidRPr="007067D0">
        <w:rPr>
          <w:color w:val="auto"/>
        </w:rPr>
        <w:t>часть 2 статьи 55.23 признать утратившей силу.</w:t>
      </w:r>
    </w:p>
    <w:p w:rsidR="00B66D42" w:rsidRPr="007067D0" w:rsidRDefault="0075244E" w:rsidP="003514F2">
      <w:pPr>
        <w:pStyle w:val="90"/>
        <w:shd w:val="clear" w:color="auto" w:fill="auto"/>
        <w:spacing w:line="280" w:lineRule="exact"/>
        <w:ind w:left="740" w:firstLine="709"/>
        <w:jc w:val="both"/>
        <w:rPr>
          <w:color w:val="auto"/>
        </w:rPr>
      </w:pPr>
      <w:r w:rsidRPr="007067D0">
        <w:rPr>
          <w:color w:val="auto"/>
        </w:rPr>
        <w:t>Статья 2</w:t>
      </w: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 w:rsidRPr="007067D0">
        <w:rPr>
          <w:color w:val="auto"/>
        </w:rPr>
        <w:t xml:space="preserve">Внести в Федеральный закон от 23 ноября 2009 г. № 261-ФЗ </w:t>
      </w:r>
      <w:r w:rsidR="00890800">
        <w:rPr>
          <w:color w:val="auto"/>
        </w:rPr>
        <w:t>«</w:t>
      </w:r>
      <w:r w:rsidRPr="007067D0">
        <w:rPr>
          <w:color w:val="auto"/>
        </w:rPr>
        <w:t xml:space="preserve">Об </w:t>
      </w:r>
      <w:r w:rsidRPr="007067D0">
        <w:rPr>
          <w:color w:val="auto"/>
        </w:rPr>
        <w:lastRenderedPageBreak/>
        <w:t>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890800">
        <w:rPr>
          <w:color w:val="auto"/>
        </w:rPr>
        <w:t>»</w:t>
      </w:r>
      <w:r w:rsidRPr="007067D0">
        <w:rPr>
          <w:color w:val="auto"/>
        </w:rPr>
        <w:t xml:space="preserve"> (Собрание законодательства Российской Федерации, 2009, № 48, ст. 5711; 2010, № 19, ст. 2291; 2011, № 29, ст. 4288; № 51, ст. 7447; 2012, № 26, ст. 3446; 2013, № 52, ст. 6961, ст. 6964; 2014, № 45, ст. 6149; 2015, № 1, ст. 19; № 27, ст. 3967; № 29, ст. 4359; 2016, № 27, ст. 4202; 2017, № 31, ст. 4745; № 31, ст. 4766; ст. 4828; 2018, № 18, ст. 2577; № 30, ст. 4556; № 31, ст. 4844; № 32, ст. 5133; № 53, ст. 8448; 2019, № 30, ст. 4143) следующие изменения:</w:t>
      </w:r>
    </w:p>
    <w:p w:rsidR="00A56585" w:rsidRPr="00A56585" w:rsidRDefault="0075244E" w:rsidP="003514F2">
      <w:pPr>
        <w:pStyle w:val="20"/>
        <w:numPr>
          <w:ilvl w:val="0"/>
          <w:numId w:val="25"/>
        </w:numPr>
        <w:shd w:val="clear" w:color="auto" w:fill="auto"/>
        <w:tabs>
          <w:tab w:val="left" w:pos="1116"/>
        </w:tabs>
        <w:spacing w:before="0" w:line="643" w:lineRule="exact"/>
        <w:ind w:firstLine="709"/>
        <w:rPr>
          <w:color w:val="auto"/>
        </w:rPr>
      </w:pPr>
      <w:r w:rsidRPr="000174A1">
        <w:rPr>
          <w:color w:val="auto"/>
        </w:rPr>
        <w:t>пункт 6 статьи 6 признать утратившим силу;</w:t>
      </w:r>
    </w:p>
    <w:p w:rsidR="00B66D42" w:rsidRPr="00546CD1" w:rsidRDefault="0075244E" w:rsidP="003514F2">
      <w:pPr>
        <w:pStyle w:val="20"/>
        <w:numPr>
          <w:ilvl w:val="0"/>
          <w:numId w:val="25"/>
        </w:numPr>
        <w:shd w:val="clear" w:color="auto" w:fill="auto"/>
        <w:tabs>
          <w:tab w:val="left" w:pos="1116"/>
        </w:tabs>
        <w:spacing w:before="0" w:line="643" w:lineRule="exact"/>
        <w:ind w:firstLine="709"/>
        <w:rPr>
          <w:color w:val="auto"/>
        </w:rPr>
      </w:pPr>
      <w:r w:rsidRPr="00546CD1">
        <w:rPr>
          <w:color w:val="auto"/>
        </w:rPr>
        <w:t>часть 1 статьи 11 изложить в следующей редакции:</w:t>
      </w:r>
    </w:p>
    <w:p w:rsidR="00B66D42" w:rsidRDefault="00890800" w:rsidP="003514F2">
      <w:pPr>
        <w:pStyle w:val="20"/>
        <w:shd w:val="clear" w:color="auto" w:fill="auto"/>
        <w:spacing w:before="0" w:line="643" w:lineRule="exact"/>
        <w:ind w:firstLine="709"/>
        <w:rPr>
          <w:color w:val="auto"/>
        </w:rPr>
      </w:pPr>
      <w:r>
        <w:rPr>
          <w:color w:val="auto"/>
        </w:rPr>
        <w:t>«</w:t>
      </w:r>
      <w:r w:rsidR="0075244E" w:rsidRPr="007067D0">
        <w:rPr>
          <w:color w:val="auto"/>
        </w:rPr>
        <w:t xml:space="preserve">1. Здания, строения, сооружения, за исключением указанных в части 5 настоящей статьи зданий, строений, сооружений, должны соответствовать требованиям энергетической эффективности, установленным </w:t>
      </w:r>
      <w:r w:rsidR="0012416C" w:rsidRPr="007067D0">
        <w:rPr>
          <w:color w:val="auto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</w:t>
      </w:r>
      <w:r w:rsidR="0012416C" w:rsidRPr="001B2FE6">
        <w:rPr>
          <w:color w:val="auto"/>
        </w:rPr>
        <w:t>а</w:t>
      </w:r>
      <w:r w:rsidR="00546CD1" w:rsidRPr="001B2FE6">
        <w:rPr>
          <w:color w:val="auto"/>
        </w:rPr>
        <w:t>.</w:t>
      </w:r>
      <w:r w:rsidRPr="001B2FE6">
        <w:rPr>
          <w:color w:val="auto"/>
        </w:rPr>
        <w:t>»</w:t>
      </w:r>
      <w:r w:rsidR="00546CD1" w:rsidRPr="001B2FE6">
        <w:rPr>
          <w:color w:val="auto"/>
        </w:rPr>
        <w:t>;</w:t>
      </w:r>
    </w:p>
    <w:p w:rsidR="00546CD1" w:rsidRDefault="00546CD1" w:rsidP="003514F2">
      <w:pPr>
        <w:pStyle w:val="20"/>
        <w:numPr>
          <w:ilvl w:val="0"/>
          <w:numId w:val="25"/>
        </w:numPr>
        <w:shd w:val="clear" w:color="auto" w:fill="auto"/>
        <w:tabs>
          <w:tab w:val="left" w:pos="1116"/>
        </w:tabs>
        <w:spacing w:before="0" w:line="643" w:lineRule="exact"/>
        <w:ind w:firstLine="709"/>
        <w:rPr>
          <w:color w:val="auto"/>
        </w:rPr>
      </w:pPr>
      <w:r w:rsidRPr="000174A1">
        <w:rPr>
          <w:color w:val="auto"/>
        </w:rPr>
        <w:t xml:space="preserve">в части 1 статьи 12 слова </w:t>
      </w:r>
      <w:r w:rsidR="00890800" w:rsidRPr="000174A1">
        <w:rPr>
          <w:color w:val="auto"/>
        </w:rPr>
        <w:t>«</w:t>
      </w:r>
      <w:r w:rsidR="009522B1" w:rsidRPr="000174A1">
        <w:rPr>
          <w:color w:val="auto"/>
        </w:rPr>
        <w:t>, требования к которым устанавливаются Правительством Российской Федерации</w:t>
      </w:r>
      <w:r w:rsidRPr="000174A1">
        <w:rPr>
          <w:color w:val="auto"/>
        </w:rPr>
        <w:t>.</w:t>
      </w:r>
      <w:r w:rsidR="00890800" w:rsidRPr="000174A1">
        <w:rPr>
          <w:color w:val="auto"/>
        </w:rPr>
        <w:t>»</w:t>
      </w:r>
      <w:r w:rsidR="001B2FE6">
        <w:rPr>
          <w:color w:val="auto"/>
        </w:rPr>
        <w:t xml:space="preserve"> исключить;</w:t>
      </w:r>
    </w:p>
    <w:p w:rsidR="001B2FE6" w:rsidRPr="000174A1" w:rsidRDefault="001B2FE6" w:rsidP="003514F2">
      <w:pPr>
        <w:pStyle w:val="20"/>
        <w:numPr>
          <w:ilvl w:val="0"/>
          <w:numId w:val="25"/>
        </w:numPr>
        <w:shd w:val="clear" w:color="auto" w:fill="auto"/>
        <w:tabs>
          <w:tab w:val="left" w:pos="1116"/>
        </w:tabs>
        <w:spacing w:before="0" w:line="643" w:lineRule="exact"/>
        <w:ind w:firstLine="709"/>
        <w:rPr>
          <w:color w:val="auto"/>
        </w:rPr>
      </w:pPr>
      <w:r>
        <w:rPr>
          <w:color w:val="auto"/>
        </w:rPr>
        <w:t>часть 3 статьи 12 признать утратившей силу.</w:t>
      </w:r>
    </w:p>
    <w:p w:rsidR="00B66D42" w:rsidRPr="007067D0" w:rsidRDefault="0075244E" w:rsidP="003514F2">
      <w:pPr>
        <w:pStyle w:val="90"/>
        <w:shd w:val="clear" w:color="auto" w:fill="auto"/>
        <w:spacing w:line="643" w:lineRule="exact"/>
        <w:ind w:firstLine="709"/>
        <w:jc w:val="both"/>
        <w:rPr>
          <w:color w:val="auto"/>
        </w:rPr>
      </w:pPr>
      <w:r w:rsidRPr="007067D0">
        <w:rPr>
          <w:color w:val="auto"/>
        </w:rPr>
        <w:t>Статья 3</w:t>
      </w:r>
    </w:p>
    <w:p w:rsidR="001E291E" w:rsidRPr="007067D0" w:rsidRDefault="001E291E" w:rsidP="003514F2">
      <w:pPr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Федеральный закон от 30 декабря 2009 г. № 384-ФЗ </w:t>
      </w:r>
      <w:r w:rsidR="00890800">
        <w:rPr>
          <w:color w:val="auto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</w:rPr>
        <w:t>Технический регламент о безопасности зданий и сооружений</w:t>
      </w:r>
      <w:r w:rsidR="00890800">
        <w:rPr>
          <w:color w:val="auto"/>
        </w:rPr>
        <w:t>»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67D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(Собрание законодательства </w:t>
      </w:r>
      <w:r w:rsidRPr="007067D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Российской Федерации, 2010, № 1, ст. 5; 2013, № 27, ст. 3477) 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1E291E" w:rsidRPr="007067D0" w:rsidRDefault="000174A1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</w:t>
      </w:r>
      <w:r w:rsidR="001E291E"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часть 2 статьи 5 изложить в следующей редакции:</w:t>
      </w:r>
    </w:p>
    <w:p w:rsidR="001E291E" w:rsidRPr="007067D0" w:rsidRDefault="00890800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color w:val="auto"/>
        </w:rPr>
        <w:t>«</w:t>
      </w:r>
      <w:r w:rsidR="001E291E"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закона, требований указанных в части 1 статьи 6 настоящего Федерального закона строительных норм и требований стандартов и сводов правил, включенных в указанный в части 2 статьи 6 настоящего Федерального закона перечень, или требований специальных технических условий.</w:t>
      </w:r>
      <w:r w:rsidR="00B53DD8" w:rsidRPr="007067D0">
        <w:rPr>
          <w:color w:val="auto"/>
        </w:rPr>
        <w:t xml:space="preserve"> </w:t>
      </w:r>
      <w:r>
        <w:rPr>
          <w:color w:val="auto"/>
        </w:rPr>
        <w:t>«</w:t>
      </w:r>
      <w:r w:rsidR="001E291E"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E291E" w:rsidRPr="007067D0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в части 10 статьи 4 после слов </w:t>
      </w:r>
      <w:r w:rsidR="00890800">
        <w:rPr>
          <w:color w:val="auto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временного (сезонного) назначения,</w:t>
      </w:r>
      <w:r w:rsidR="00B53DD8" w:rsidRPr="007067D0">
        <w:rPr>
          <w:color w:val="auto"/>
        </w:rPr>
        <w:t xml:space="preserve"> </w:t>
      </w:r>
      <w:r w:rsidR="00890800">
        <w:rPr>
          <w:color w:val="auto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дополнить словами </w:t>
      </w:r>
      <w:r w:rsidR="00890800">
        <w:rPr>
          <w:color w:val="auto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некапитальные строения, сооружения,</w:t>
      </w:r>
      <w:r w:rsidR="00B53DD8" w:rsidRPr="007067D0">
        <w:rPr>
          <w:color w:val="auto"/>
        </w:rPr>
        <w:t xml:space="preserve"> </w:t>
      </w:r>
      <w:r w:rsidR="00890800">
        <w:rPr>
          <w:color w:val="auto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E291E" w:rsidRPr="007067D0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 w:rsid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статью 6 изложить в следующей редакции:</w:t>
      </w:r>
    </w:p>
    <w:p w:rsidR="00114F5B" w:rsidRPr="003D3517" w:rsidRDefault="00890800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t>«</w:t>
      </w:r>
      <w:r w:rsidR="00114F5B" w:rsidRPr="003D3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Статья 6. Документы, </w:t>
      </w:r>
      <w:r w:rsidR="00114F5B" w:rsidRPr="003D3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 результате применения которых обеспечивается соблюдение требований настоящего Федерального закона</w:t>
      </w:r>
    </w:p>
    <w:p w:rsidR="00114F5B" w:rsidRPr="003D3517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D3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Соблюдение установленных настоящим Федеральным законом  требований обеспечивается применением на обязательной основе строительных норм,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и применением на добровольной основе </w:t>
      </w:r>
      <w:r w:rsidRPr="003D35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национальных стандартов и сводов правил в сфере строительства, утвержденных в соответствии с законодательством Российской Федерации о стандартизации.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по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В случае, если для подготовки проектной документации требуется отступление от требований, установленных строительными нормами, требований к надежности и безопасности, установленных строительными нормами недостаточно или такие требования не установлены</w:t>
      </w:r>
      <w:r w:rsidRPr="000174A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0174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строительными нормами или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национальными стандартами и сводами правил, указанными в части 2 настоящей статьи,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</w:t>
      </w:r>
      <w:r w:rsidRPr="000174A1">
        <w:rPr>
          <w:rFonts w:ascii="Times New Roman" w:eastAsia="Times New Roman" w:hAnsi="Times New Roman"/>
          <w:color w:val="auto"/>
          <w:sz w:val="28"/>
          <w:szCs w:val="28"/>
        </w:rPr>
        <w:t xml:space="preserve">, </w:t>
      </w:r>
      <w:r w:rsidRPr="000174A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либо с обоснованием проектируемых мероприятий по безопасности одним или несколькими способами, указанными в части 6 статьи 15 настоящего Федерального закона.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строительные нормы, а также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Разработка строительных норм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или подведомственным ему (бюджетным или автономным) учреждением (далее также – разработчик строительных норм) в соответствии с планом разработки строительных норм, утверждаемым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(далее также – план разработки строительных норм).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План разработки строительных норм должен включать сведения о запланированных к разработке строительных нормах с указанием объектов технического регулирования таких норм и сроков их разработки. План разработки строительных норм может включать сведения о действующих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строительных нормах, подлежащих изменению, основаниях и сроках внесения таких изменений.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О разработке проекта строительных норм должно быть опубликовано уведомление в информационной системе общего пользования федерального органа исполнительной власти по техническому регулированию в электронно-цифровой форме.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Уведомление о разработке проекта строительных норм должно содержать информацию об объекте технического регулирования с кратким изложением цели строительных норм, обоснованием необходимости их разработки и указанием тех разрабатываемых требований, которые отличаются от обязательных требований, действующих на территории Российской Федерации в момент разработки проекта данных строительных норм, и информацию о способе ознакомления с проектом строительных норм, сведениями о адресе электронной почты разработчика строительных норм, по которым осуществляется прием в письменной форме замечаний заинтересованных лиц.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 С момента опубликования уведомления о разработке проекта строительных норм соответствующий проект строительных норм должен быть доступен заинтересованным лицам для ознакомления на официальном сайте разработчика строительных норм в информационно-телекоммуникационной сети </w:t>
      </w:r>
      <w:r w:rsidR="00890800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Интернет</w:t>
      </w:r>
      <w:r w:rsidR="00890800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также – официальный сайт разработчика строительных норм).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10. Разработчик строительных норм дорабатывает проект строительных норм с учетом полученных в письменной форме замечаний заинтересованных лиц,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Разработчик обязан сохранять полученные в письменной форме замечания заинтересованных лиц до дня вступления в силу нормативного правового акта, утверждающего соответствующие строительные нормы, и предоставлять их представителям органов государственной власти и указанным в части 16 настоящей статьи экспертным комиссиям по их запросам.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Срок публичного обсуждения проекта строительных норм со дня опубликования уведомления о разработке проекта строительных норм до дня опубликования уведомления о завершении публичного обсуждения не может быть менее, чем два месяца.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 Уведомление о завершении публичного обсуждения проекта строительных норм должно быть опубликовано в информационной системе общего пользования федерального органа исполнительной власти по техническому регулированию в электронно-цифровой форме.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Уведомление о завершении публичного обсуждения проекта строительных норм должно включать в себя информацию о способе ознакомления с проектом строительных норм и перечнем полученных в письменной форме замечаний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заинтересованных лиц, а также адрес электронной почты, по которым с разработчиком строительных норм может быть осуществлена связь.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 дня опубликования уведомления о завершении публичного обсуждения проекта строительных норм доработанный проект строительных норм и перечень полученных в письменной форме замечаний заинтересованных лиц должны быть доступны заинтересованным лицам для ознакомления на официальном сайте разработчика строительных норм.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Порядок и сроки опубликования уведомлений, указанных в частях 7 и 12 настоящей статьи, аналогичны порядку и срокам, определенным законодательством о техническом регулировании для разработки проектов технических регламентов. 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14. </w:t>
      </w:r>
      <w:r w:rsidRPr="000174A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Одновременно с мероприятиями, предусмотренными частями 7-12 настоящей статьи, разработчик строительных норм обеспечивает проведение процедур</w:t>
      </w:r>
      <w:r w:rsidRPr="000174A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0174A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согласования, оценки регулирующего воздействия, независимой антикоррупционной экспертизы, предусмотренных правилами подготовки нормативных правовых актов федеральных органов исполнительной власти, установленными Правительством Российской Федерации.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Строительные нормы, содержащие требования пожарной безопасности, подлежат согласованию с федеральным органом исполнительной власти, осуществляющим функции по выработке и реализации государственной политики в области обеспечения пожарной безопасности.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15. Проект строительных норм до его утверждения направляется на экспертизу в экспертную комиссию, в состав которой на паритетных началах включаются представители федеральных органов исполнительной власти, научных организаций, саморегулируемых организаций, общественных объединений предпринимателей и потребителей, с приложением следующих документов: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обоснование необходимости утверждения строительных норм с указанием требований, которые отличаются от обязательных требований, действующих на территории Российской Федерации в момент разработки проекта строительных норм;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документы, подтверждающие опубликование уведомлений, указанных в частях 7 и 12 настоящей статьи;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перечень полученных в письменной форме замечаний заинтересованных лиц</w:t>
      </w:r>
      <w:r w:rsidRPr="000174A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указанием сведений об их учете или мотивированном отклонении;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документы, подтверждающие проведение процедур</w:t>
      </w:r>
      <w:r w:rsidRPr="000174A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согласования, оценки регулирующего воздействия, независимой антикоррупционной экспертизы, предусмотренных правилами подготовки нормативных правовых актов федеральных органов исполнительной власти, установленными Правительством Российской Федерации.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16. Порядок создания и деятельности экспертных комиссий, утверждается Правительством Российской Федерации. Персональный состав экспертных комиссий утверждается федеральным органом исполнительной власти,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Предметом экспертизы проекта строительных норм являются: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проверка соответствия проекта строительных норм целям и задачам технического регулирования;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проверка достаточности требований строительных норм для обеспечения соблюдения требований технических регламентов в области обеспечения безопасности зданий и сооружений;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проверка соответствия проекта строительных норм требованиям законодательства, включая наличие в строительных нормах требований, противоречащих требованиям, содержащимся в ранее утвержденных строительных нормах, нормативных правовых актах федеральных органов исполнительной власти.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18. Подготовка заключения экспертной комиссии осуществляется в течение тридцати дней со дня поступления проекта строительных норм с приложениями на проведение экспертизы. Заключение экспертной комиссии подлежит опубликованию на официальном сайте разработчика строительных норм в течение месяца со дня получения такого заключения.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19. Решение об утверждении строительных норм или об отклонении их проекта принимается с учетом заключения экспертной комиссии и при наличии документов, предусмотренных пунктами 1-4 части 15 настоящей статьи, в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течение десяти дней со дня поступления проекта строительных норм на утверждение. 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 Утвержденные строительные нормы подлежат официальному опубликованию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 Внесение изменений и дополнений в строительные нормы или их отмена осуществляется в порядке, аналогичном порядку их разработки и утверждения, за исключением случая, предусмотренного частью 24 настоящей статьи.</w:t>
      </w:r>
    </w:p>
    <w:p w:rsidR="00114F5B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22. При необходимости устранения в утвержденных строительных нормах опечаток, ошибок или неточностей редакционного характера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без проведения процедур публичного обсуждения, согласования, оценки регулирующего воздействия и экспертиз, предусмотренных настоящей статьей, утверждает изменение (поправку) к строительным нормам.</w:t>
      </w:r>
    </w:p>
    <w:p w:rsidR="001E291E" w:rsidRPr="000174A1" w:rsidRDefault="00114F5B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23.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Поправкой к строительным нормам не допускается внесение изменений в ранее установленные параметры, показатели или положения 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строительных норм, а также введение новых пунктов, подпунктов, таблиц, графических материалов и приложений.</w:t>
      </w:r>
      <w:r w:rsidR="00890800" w:rsidRPr="000174A1">
        <w:rPr>
          <w:color w:val="auto"/>
        </w:rPr>
        <w:t>»</w:t>
      </w:r>
      <w:r w:rsidR="001E291E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E291E" w:rsidRPr="000174A1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в первом предложении части 6 статьи 15 слова </w:t>
      </w:r>
      <w:r w:rsidR="00890800" w:rsidRPr="000174A1">
        <w:rPr>
          <w:color w:val="auto"/>
        </w:rPr>
        <w:t>«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ссылками на требования стандартов и сводов правил, включенных в указанный в части 1 и 4 статьи 6 настоящего Федерального закона перечни,</w:t>
      </w:r>
      <w:r w:rsidR="00890800" w:rsidRPr="000174A1">
        <w:rPr>
          <w:color w:val="auto"/>
        </w:rPr>
        <w:t>»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заменить словами </w:t>
      </w:r>
      <w:r w:rsidR="00890800" w:rsidRPr="000174A1">
        <w:rPr>
          <w:color w:val="auto"/>
        </w:rPr>
        <w:t>«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ссылками на требования строительных норм, а также стандартов и сводов правил, включенных в указанный в части 2 статьи 6 настоящего Федерального закона перечень,</w:t>
      </w:r>
      <w:r w:rsidR="00890800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E291E" w:rsidRPr="000174A1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5) в части 6 статьи 16 слова </w:t>
      </w:r>
      <w:r w:rsidR="00890800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</w:t>
      </w:r>
      <w:r w:rsidR="00890800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исключить;</w:t>
      </w:r>
    </w:p>
    <w:p w:rsidR="001E291E" w:rsidRPr="000174A1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часть 2 статьи 34 дополнить абзацем следующего содержания:</w:t>
      </w:r>
    </w:p>
    <w:p w:rsidR="00114F5B" w:rsidRPr="000174A1" w:rsidRDefault="00890800" w:rsidP="003514F2">
      <w:pPr>
        <w:widowControl/>
        <w:spacing w:line="643" w:lineRule="exact"/>
        <w:ind w:firstLine="709"/>
        <w:jc w:val="both"/>
        <w:rPr>
          <w:color w:val="auto"/>
        </w:rPr>
      </w:pPr>
      <w:r w:rsidRPr="000174A1">
        <w:rPr>
          <w:color w:val="auto"/>
        </w:rPr>
        <w:t>«</w:t>
      </w:r>
      <w:r w:rsidR="00114F5B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Подтверждение пригодности для применения в строительстве строительных материалов, изделий и конструкций, применение которых в строительстве не регламентировано документами, указанными в частях 1 и 2 статьи 6 настоящего Федерального закона,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ему государственным (бюджетным или автономным) учреждением в </w:t>
      </w:r>
      <w:r w:rsidR="00114F5B" w:rsidRPr="000174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соответствии с правилами, установленными Правительством Российской Федерации.</w:t>
      </w:r>
      <w:r w:rsidRPr="000174A1">
        <w:rPr>
          <w:color w:val="auto"/>
        </w:rPr>
        <w:t>»</w:t>
      </w:r>
      <w:r w:rsidR="00114F5B" w:rsidRPr="000174A1">
        <w:rPr>
          <w:color w:val="auto"/>
        </w:rPr>
        <w:t>;</w:t>
      </w:r>
    </w:p>
    <w:p w:rsidR="001E291E" w:rsidRPr="007067D0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в статье 42 пункты 3 – 5 признать утратившими силу.</w:t>
      </w:r>
    </w:p>
    <w:p w:rsidR="00B66D42" w:rsidRPr="007067D0" w:rsidRDefault="0075244E" w:rsidP="003514F2">
      <w:pPr>
        <w:pStyle w:val="90"/>
        <w:shd w:val="clear" w:color="auto" w:fill="auto"/>
        <w:spacing w:line="643" w:lineRule="exact"/>
        <w:ind w:firstLine="709"/>
        <w:jc w:val="both"/>
        <w:rPr>
          <w:color w:val="auto"/>
        </w:rPr>
      </w:pPr>
      <w:r w:rsidRPr="007067D0">
        <w:rPr>
          <w:color w:val="auto"/>
        </w:rPr>
        <w:t>Статья 4</w:t>
      </w:r>
    </w:p>
    <w:p w:rsidR="001E291E" w:rsidRPr="007067D0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До разработки, утверждения и введения в действие строительных норм в целях обеспечения соблюдения требований Федерального закона </w:t>
      </w:r>
      <w:r w:rsidR="00890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Технический регламент о безопасности зданий и сооружений</w:t>
      </w:r>
      <w:r w:rsidR="00890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обязательной основе применяются национальные стандарты и своды правил (части таких стандартов и сводов правил), вошедшие в перечень таких стандартов и сводов правил, утвержденный Правительством Российской Федерации.</w:t>
      </w:r>
    </w:p>
    <w:p w:rsidR="001E291E" w:rsidRPr="007067D0" w:rsidRDefault="001E291E" w:rsidP="003514F2">
      <w:pPr>
        <w:widowControl/>
        <w:spacing w:line="64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В случае, если для подготовки проектной документации требуется отступление от требований, установленных национальными стандартами и сводами правил, указанными в части 1 настоящей статьи, требований к надежности и безопасности, установленных указанными национальными стандартами и сводами правил недостаточно или такие требования не установлены национальными стандартами и сводами правил, указанными в частях 1 и 2 статьи 6 Федерального закона </w:t>
      </w:r>
      <w:r w:rsidR="00890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Технический регламент о безопасности зданий и сооружений</w:t>
      </w:r>
      <w:r w:rsidR="008908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7067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власти.</w:t>
      </w:r>
    </w:p>
    <w:p w:rsidR="00B66D42" w:rsidRPr="007067D0" w:rsidRDefault="0075244E" w:rsidP="003514F2">
      <w:pPr>
        <w:pStyle w:val="90"/>
        <w:shd w:val="clear" w:color="auto" w:fill="auto"/>
        <w:spacing w:line="643" w:lineRule="exact"/>
        <w:ind w:firstLine="709"/>
        <w:jc w:val="both"/>
        <w:rPr>
          <w:color w:val="auto"/>
        </w:rPr>
      </w:pPr>
      <w:r w:rsidRPr="007067D0">
        <w:rPr>
          <w:color w:val="auto"/>
        </w:rPr>
        <w:lastRenderedPageBreak/>
        <w:t>Статья 5</w:t>
      </w:r>
    </w:p>
    <w:p w:rsidR="0093187F" w:rsidRDefault="0075244E" w:rsidP="003514F2">
      <w:pPr>
        <w:pStyle w:val="20"/>
        <w:shd w:val="clear" w:color="auto" w:fill="auto"/>
        <w:spacing w:before="0" w:line="643" w:lineRule="exact"/>
        <w:ind w:firstLine="709"/>
        <w:jc w:val="left"/>
        <w:rPr>
          <w:color w:val="auto"/>
        </w:rPr>
      </w:pPr>
      <w:r w:rsidRPr="007067D0">
        <w:rPr>
          <w:color w:val="auto"/>
          <w:lang w:bidi="ar-SA"/>
        </w:rPr>
        <w:t>Настоящий Федеральный закон вступает в силу с 1 января 2021 года.</w:t>
      </w:r>
      <w:r w:rsidRPr="007067D0">
        <w:rPr>
          <w:color w:val="auto"/>
        </w:rPr>
        <w:t xml:space="preserve"> </w:t>
      </w:r>
    </w:p>
    <w:p w:rsidR="0093187F" w:rsidRDefault="0093187F" w:rsidP="003514F2">
      <w:pPr>
        <w:pStyle w:val="20"/>
        <w:shd w:val="clear" w:color="auto" w:fill="auto"/>
        <w:spacing w:before="0" w:line="643" w:lineRule="exact"/>
        <w:ind w:firstLine="709"/>
        <w:jc w:val="left"/>
        <w:rPr>
          <w:color w:val="auto"/>
        </w:rPr>
      </w:pPr>
    </w:p>
    <w:p w:rsidR="0093187F" w:rsidRDefault="0093187F" w:rsidP="003514F2">
      <w:pPr>
        <w:pStyle w:val="20"/>
        <w:shd w:val="clear" w:color="auto" w:fill="auto"/>
        <w:spacing w:before="0" w:line="643" w:lineRule="exact"/>
        <w:ind w:firstLine="709"/>
        <w:jc w:val="left"/>
        <w:rPr>
          <w:color w:val="auto"/>
        </w:rPr>
      </w:pPr>
    </w:p>
    <w:p w:rsidR="00B66D42" w:rsidRPr="007067D0" w:rsidRDefault="0075244E" w:rsidP="003514F2">
      <w:pPr>
        <w:pStyle w:val="20"/>
        <w:shd w:val="clear" w:color="auto" w:fill="auto"/>
        <w:spacing w:before="0" w:line="643" w:lineRule="exact"/>
        <w:ind w:firstLine="709"/>
        <w:jc w:val="left"/>
        <w:rPr>
          <w:color w:val="auto"/>
        </w:rPr>
      </w:pPr>
      <w:r w:rsidRPr="007067D0">
        <w:rPr>
          <w:color w:val="auto"/>
        </w:rPr>
        <w:t>Президент</w:t>
      </w:r>
    </w:p>
    <w:p w:rsidR="000174A1" w:rsidRDefault="0075244E" w:rsidP="000174A1">
      <w:pPr>
        <w:pStyle w:val="20"/>
        <w:shd w:val="clear" w:color="auto" w:fill="auto"/>
        <w:tabs>
          <w:tab w:val="left" w:pos="8347"/>
        </w:tabs>
        <w:spacing w:before="0" w:line="280" w:lineRule="exact"/>
        <w:rPr>
          <w:color w:val="auto"/>
        </w:rPr>
      </w:pPr>
      <w:r w:rsidRPr="007067D0">
        <w:rPr>
          <w:color w:val="auto"/>
        </w:rPr>
        <w:t>Российской Федерации</w:t>
      </w:r>
      <w:r w:rsidRPr="007067D0">
        <w:rPr>
          <w:color w:val="auto"/>
        </w:rPr>
        <w:tab/>
        <w:t>В Путин</w:t>
      </w:r>
      <w:bookmarkStart w:id="4" w:name="bookmark14"/>
    </w:p>
    <w:bookmarkEnd w:id="4"/>
    <w:p w:rsidR="000174A1" w:rsidRDefault="000174A1" w:rsidP="000174A1">
      <w:pPr>
        <w:pStyle w:val="20"/>
        <w:shd w:val="clear" w:color="auto" w:fill="auto"/>
        <w:tabs>
          <w:tab w:val="left" w:pos="8347"/>
        </w:tabs>
        <w:spacing w:before="0" w:line="280" w:lineRule="exact"/>
        <w:rPr>
          <w:color w:val="auto"/>
        </w:rPr>
      </w:pPr>
    </w:p>
    <w:sectPr w:rsidR="000174A1" w:rsidSect="000174A1">
      <w:pgSz w:w="11900" w:h="16840"/>
      <w:pgMar w:top="1157" w:right="1107" w:bottom="1157" w:left="1107" w:header="0" w:footer="3" w:gutter="0"/>
      <w:pgNumType w:start="6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DD" w:rsidRDefault="00E628DD">
      <w:r>
        <w:separator/>
      </w:r>
    </w:p>
  </w:endnote>
  <w:endnote w:type="continuationSeparator" w:id="0">
    <w:p w:rsidR="00E628DD" w:rsidRDefault="00E6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DD" w:rsidRDefault="00E628DD"/>
  </w:footnote>
  <w:footnote w:type="continuationSeparator" w:id="0">
    <w:p w:rsidR="00E628DD" w:rsidRDefault="00E62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F38"/>
    <w:multiLevelType w:val="multilevel"/>
    <w:tmpl w:val="663C9A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F7A15"/>
    <w:multiLevelType w:val="hybridMultilevel"/>
    <w:tmpl w:val="F5508A7C"/>
    <w:lvl w:ilvl="0" w:tplc="49C44AD8">
      <w:start w:val="12"/>
      <w:numFmt w:val="decimal"/>
      <w:lvlText w:val="%1)"/>
      <w:lvlJc w:val="left"/>
      <w:pPr>
        <w:ind w:left="750" w:hanging="39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40D1"/>
    <w:multiLevelType w:val="multilevel"/>
    <w:tmpl w:val="8C16B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254B0"/>
    <w:multiLevelType w:val="multilevel"/>
    <w:tmpl w:val="4B348C9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17509"/>
    <w:multiLevelType w:val="multilevel"/>
    <w:tmpl w:val="3C643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403472"/>
    <w:multiLevelType w:val="multilevel"/>
    <w:tmpl w:val="8CDA0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02FCB"/>
    <w:multiLevelType w:val="multilevel"/>
    <w:tmpl w:val="641AB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870E9D"/>
    <w:multiLevelType w:val="multilevel"/>
    <w:tmpl w:val="A184DD0C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03D03"/>
    <w:multiLevelType w:val="multilevel"/>
    <w:tmpl w:val="BF0A699E"/>
    <w:lvl w:ilvl="0">
      <w:start w:val="201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A97D2B"/>
    <w:multiLevelType w:val="multilevel"/>
    <w:tmpl w:val="43580EB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1D3E46"/>
    <w:multiLevelType w:val="multilevel"/>
    <w:tmpl w:val="8F74C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E75638"/>
    <w:multiLevelType w:val="multilevel"/>
    <w:tmpl w:val="BA3C4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F7303E"/>
    <w:multiLevelType w:val="hybridMultilevel"/>
    <w:tmpl w:val="4D88C3F2"/>
    <w:lvl w:ilvl="0" w:tplc="9FFC305A">
      <w:start w:val="9"/>
      <w:numFmt w:val="decimal"/>
      <w:lvlText w:val="%1)"/>
      <w:lvlJc w:val="left"/>
      <w:pPr>
        <w:ind w:left="11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2CC0B99"/>
    <w:multiLevelType w:val="multilevel"/>
    <w:tmpl w:val="290E6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830676"/>
    <w:multiLevelType w:val="multilevel"/>
    <w:tmpl w:val="1C903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DD08BE"/>
    <w:multiLevelType w:val="multilevel"/>
    <w:tmpl w:val="131A3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503585"/>
    <w:multiLevelType w:val="multilevel"/>
    <w:tmpl w:val="DA962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C5097B"/>
    <w:multiLevelType w:val="multilevel"/>
    <w:tmpl w:val="AD3EC0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EF53B0"/>
    <w:multiLevelType w:val="multilevel"/>
    <w:tmpl w:val="971CAC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4C3B19"/>
    <w:multiLevelType w:val="multilevel"/>
    <w:tmpl w:val="DBECA88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B83C99"/>
    <w:multiLevelType w:val="hybridMultilevel"/>
    <w:tmpl w:val="8AA0BAD0"/>
    <w:lvl w:ilvl="0" w:tplc="879A9898">
      <w:start w:val="3"/>
      <w:numFmt w:val="decimal"/>
      <w:suff w:val="space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3E20002D"/>
    <w:multiLevelType w:val="multilevel"/>
    <w:tmpl w:val="C8CE0A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016819"/>
    <w:multiLevelType w:val="multilevel"/>
    <w:tmpl w:val="99666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9446EE"/>
    <w:multiLevelType w:val="multilevel"/>
    <w:tmpl w:val="102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13537F"/>
    <w:multiLevelType w:val="hybridMultilevel"/>
    <w:tmpl w:val="BA2A4F5C"/>
    <w:lvl w:ilvl="0" w:tplc="04EAE0BA">
      <w:start w:val="8"/>
      <w:numFmt w:val="decimal"/>
      <w:lvlText w:val="%1)"/>
      <w:lvlJc w:val="left"/>
      <w:pPr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48232480"/>
    <w:multiLevelType w:val="multilevel"/>
    <w:tmpl w:val="102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2F772C"/>
    <w:multiLevelType w:val="hybridMultilevel"/>
    <w:tmpl w:val="4C12BBDC"/>
    <w:lvl w:ilvl="0" w:tplc="8038578C">
      <w:start w:val="7"/>
      <w:numFmt w:val="decimal"/>
      <w:lvlText w:val="%1)"/>
      <w:lvlJc w:val="left"/>
      <w:pPr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5153200D"/>
    <w:multiLevelType w:val="multilevel"/>
    <w:tmpl w:val="AD18E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0B37F9"/>
    <w:multiLevelType w:val="multilevel"/>
    <w:tmpl w:val="2988B9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5183C07"/>
    <w:multiLevelType w:val="multilevel"/>
    <w:tmpl w:val="471E9BE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7577218"/>
    <w:multiLevelType w:val="multilevel"/>
    <w:tmpl w:val="82F8D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FB4810"/>
    <w:multiLevelType w:val="multilevel"/>
    <w:tmpl w:val="BDE6D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A3209D"/>
    <w:multiLevelType w:val="multilevel"/>
    <w:tmpl w:val="102CC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CC3908"/>
    <w:multiLevelType w:val="multilevel"/>
    <w:tmpl w:val="3CF2998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0767E6"/>
    <w:multiLevelType w:val="multilevel"/>
    <w:tmpl w:val="64C2F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E0576D"/>
    <w:multiLevelType w:val="multilevel"/>
    <w:tmpl w:val="95926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17B58"/>
    <w:multiLevelType w:val="multilevel"/>
    <w:tmpl w:val="5136E5CE"/>
    <w:lvl w:ilvl="0">
      <w:start w:val="2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54D52A5"/>
    <w:multiLevelType w:val="multilevel"/>
    <w:tmpl w:val="8DFCA72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5B5F66"/>
    <w:multiLevelType w:val="multilevel"/>
    <w:tmpl w:val="4D44B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F2368C"/>
    <w:multiLevelType w:val="multilevel"/>
    <w:tmpl w:val="558C5D2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A3C10A6"/>
    <w:multiLevelType w:val="multilevel"/>
    <w:tmpl w:val="94EA67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F02435"/>
    <w:multiLevelType w:val="hybridMultilevel"/>
    <w:tmpl w:val="98E29E82"/>
    <w:lvl w:ilvl="0" w:tplc="786685E4">
      <w:start w:val="10"/>
      <w:numFmt w:val="decimal"/>
      <w:lvlText w:val="%1)"/>
      <w:lvlJc w:val="left"/>
      <w:pPr>
        <w:ind w:left="1241" w:hanging="39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F4E1E8D"/>
    <w:multiLevelType w:val="multilevel"/>
    <w:tmpl w:val="65502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5"/>
  </w:num>
  <w:num w:numId="5">
    <w:abstractNumId w:val="42"/>
  </w:num>
  <w:num w:numId="6">
    <w:abstractNumId w:val="40"/>
  </w:num>
  <w:num w:numId="7">
    <w:abstractNumId w:val="10"/>
  </w:num>
  <w:num w:numId="8">
    <w:abstractNumId w:val="27"/>
  </w:num>
  <w:num w:numId="9">
    <w:abstractNumId w:val="35"/>
  </w:num>
  <w:num w:numId="10">
    <w:abstractNumId w:val="21"/>
  </w:num>
  <w:num w:numId="11">
    <w:abstractNumId w:val="2"/>
  </w:num>
  <w:num w:numId="12">
    <w:abstractNumId w:val="17"/>
  </w:num>
  <w:num w:numId="13">
    <w:abstractNumId w:val="29"/>
  </w:num>
  <w:num w:numId="14">
    <w:abstractNumId w:val="31"/>
  </w:num>
  <w:num w:numId="15">
    <w:abstractNumId w:val="14"/>
  </w:num>
  <w:num w:numId="16">
    <w:abstractNumId w:val="22"/>
  </w:num>
  <w:num w:numId="17">
    <w:abstractNumId w:val="16"/>
  </w:num>
  <w:num w:numId="18">
    <w:abstractNumId w:val="38"/>
  </w:num>
  <w:num w:numId="19">
    <w:abstractNumId w:val="6"/>
  </w:num>
  <w:num w:numId="20">
    <w:abstractNumId w:val="28"/>
  </w:num>
  <w:num w:numId="21">
    <w:abstractNumId w:val="3"/>
  </w:num>
  <w:num w:numId="22">
    <w:abstractNumId w:val="36"/>
  </w:num>
  <w:num w:numId="23">
    <w:abstractNumId w:val="37"/>
  </w:num>
  <w:num w:numId="24">
    <w:abstractNumId w:val="33"/>
  </w:num>
  <w:num w:numId="25">
    <w:abstractNumId w:val="39"/>
  </w:num>
  <w:num w:numId="26">
    <w:abstractNumId w:val="13"/>
  </w:num>
  <w:num w:numId="27">
    <w:abstractNumId w:val="11"/>
  </w:num>
  <w:num w:numId="28">
    <w:abstractNumId w:val="34"/>
  </w:num>
  <w:num w:numId="29">
    <w:abstractNumId w:val="30"/>
  </w:num>
  <w:num w:numId="30">
    <w:abstractNumId w:val="4"/>
  </w:num>
  <w:num w:numId="31">
    <w:abstractNumId w:val="8"/>
  </w:num>
  <w:num w:numId="32">
    <w:abstractNumId w:val="7"/>
  </w:num>
  <w:num w:numId="33">
    <w:abstractNumId w:val="25"/>
  </w:num>
  <w:num w:numId="34">
    <w:abstractNumId w:val="19"/>
  </w:num>
  <w:num w:numId="35">
    <w:abstractNumId w:val="32"/>
  </w:num>
  <w:num w:numId="36">
    <w:abstractNumId w:val="23"/>
  </w:num>
  <w:num w:numId="37">
    <w:abstractNumId w:val="24"/>
  </w:num>
  <w:num w:numId="38">
    <w:abstractNumId w:val="26"/>
  </w:num>
  <w:num w:numId="39">
    <w:abstractNumId w:val="41"/>
  </w:num>
  <w:num w:numId="40">
    <w:abstractNumId w:val="1"/>
  </w:num>
  <w:num w:numId="41">
    <w:abstractNumId w:val="9"/>
  </w:num>
  <w:num w:numId="42">
    <w:abstractNumId w:val="1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2"/>
    <w:rsid w:val="000174A1"/>
    <w:rsid w:val="0009380F"/>
    <w:rsid w:val="000E357A"/>
    <w:rsid w:val="00102954"/>
    <w:rsid w:val="00105872"/>
    <w:rsid w:val="001139AB"/>
    <w:rsid w:val="00114F5B"/>
    <w:rsid w:val="0012416C"/>
    <w:rsid w:val="0013779C"/>
    <w:rsid w:val="0016709A"/>
    <w:rsid w:val="00170C0A"/>
    <w:rsid w:val="0019655E"/>
    <w:rsid w:val="001B2FE6"/>
    <w:rsid w:val="001D6A40"/>
    <w:rsid w:val="001E291E"/>
    <w:rsid w:val="001E37D6"/>
    <w:rsid w:val="002233BC"/>
    <w:rsid w:val="00243801"/>
    <w:rsid w:val="00276589"/>
    <w:rsid w:val="00281FD5"/>
    <w:rsid w:val="002B24BC"/>
    <w:rsid w:val="002B2BC9"/>
    <w:rsid w:val="003467B0"/>
    <w:rsid w:val="003514F2"/>
    <w:rsid w:val="00387A3D"/>
    <w:rsid w:val="00397D7E"/>
    <w:rsid w:val="003C3898"/>
    <w:rsid w:val="003D3517"/>
    <w:rsid w:val="004052A0"/>
    <w:rsid w:val="0043183E"/>
    <w:rsid w:val="00444D73"/>
    <w:rsid w:val="00447B07"/>
    <w:rsid w:val="00462070"/>
    <w:rsid w:val="00467DC5"/>
    <w:rsid w:val="00491A65"/>
    <w:rsid w:val="004B24C5"/>
    <w:rsid w:val="004D3B76"/>
    <w:rsid w:val="005051F9"/>
    <w:rsid w:val="0052637E"/>
    <w:rsid w:val="00546CD1"/>
    <w:rsid w:val="00563012"/>
    <w:rsid w:val="00584A41"/>
    <w:rsid w:val="00586F6B"/>
    <w:rsid w:val="005A545D"/>
    <w:rsid w:val="005D6FCB"/>
    <w:rsid w:val="00643DE1"/>
    <w:rsid w:val="00664987"/>
    <w:rsid w:val="00665D5B"/>
    <w:rsid w:val="00670387"/>
    <w:rsid w:val="00674087"/>
    <w:rsid w:val="006A0E51"/>
    <w:rsid w:val="006A2318"/>
    <w:rsid w:val="007067D0"/>
    <w:rsid w:val="00721536"/>
    <w:rsid w:val="00744F18"/>
    <w:rsid w:val="00751E29"/>
    <w:rsid w:val="0075244E"/>
    <w:rsid w:val="00760453"/>
    <w:rsid w:val="007858CE"/>
    <w:rsid w:val="00795E14"/>
    <w:rsid w:val="007B4E54"/>
    <w:rsid w:val="00814442"/>
    <w:rsid w:val="00821899"/>
    <w:rsid w:val="00851699"/>
    <w:rsid w:val="00861F89"/>
    <w:rsid w:val="008872BC"/>
    <w:rsid w:val="00890800"/>
    <w:rsid w:val="008A250C"/>
    <w:rsid w:val="008F065D"/>
    <w:rsid w:val="008F1CFC"/>
    <w:rsid w:val="008F4CE7"/>
    <w:rsid w:val="0093187F"/>
    <w:rsid w:val="009522B1"/>
    <w:rsid w:val="00957CA3"/>
    <w:rsid w:val="00962FF9"/>
    <w:rsid w:val="0096543D"/>
    <w:rsid w:val="00972410"/>
    <w:rsid w:val="00976980"/>
    <w:rsid w:val="009D343D"/>
    <w:rsid w:val="00A3572B"/>
    <w:rsid w:val="00A46E29"/>
    <w:rsid w:val="00A56585"/>
    <w:rsid w:val="00A87E7B"/>
    <w:rsid w:val="00AB1053"/>
    <w:rsid w:val="00AC3777"/>
    <w:rsid w:val="00AD2200"/>
    <w:rsid w:val="00B53DD8"/>
    <w:rsid w:val="00B54B12"/>
    <w:rsid w:val="00B66D42"/>
    <w:rsid w:val="00B94F27"/>
    <w:rsid w:val="00B96A79"/>
    <w:rsid w:val="00BA1236"/>
    <w:rsid w:val="00BD0F7C"/>
    <w:rsid w:val="00BF7C13"/>
    <w:rsid w:val="00C06D46"/>
    <w:rsid w:val="00C36465"/>
    <w:rsid w:val="00C4130D"/>
    <w:rsid w:val="00CC6D6E"/>
    <w:rsid w:val="00CD3E2F"/>
    <w:rsid w:val="00CD6181"/>
    <w:rsid w:val="00CF0BFB"/>
    <w:rsid w:val="00CF55AC"/>
    <w:rsid w:val="00D017D9"/>
    <w:rsid w:val="00D177ED"/>
    <w:rsid w:val="00DB0F53"/>
    <w:rsid w:val="00DC1835"/>
    <w:rsid w:val="00E277AF"/>
    <w:rsid w:val="00E315E7"/>
    <w:rsid w:val="00E50150"/>
    <w:rsid w:val="00E55570"/>
    <w:rsid w:val="00E628DD"/>
    <w:rsid w:val="00E824A0"/>
    <w:rsid w:val="00E9436F"/>
    <w:rsid w:val="00F27388"/>
    <w:rsid w:val="00F6583B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C9911-9DEB-4451-A2EC-DE593EB1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35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11pt">
    <w:name w:val="Основной текст (6) + 11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0pt">
    <w:name w:val="Основной текст (7) + 10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-1pt">
    <w:name w:val="Основной текст (2) + 9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 + Малые прописные"/>
    <w:basedOn w:val="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60" w:line="0" w:lineRule="atLeas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5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280" w:line="206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20" w:line="346" w:lineRule="exact"/>
      <w:ind w:firstLine="7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322" w:lineRule="exact"/>
      <w:ind w:firstLine="7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9">
    <w:name w:val="List Paragraph"/>
    <w:basedOn w:val="a"/>
    <w:uiPriority w:val="34"/>
    <w:qFormat/>
    <w:rsid w:val="009D34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38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898"/>
    <w:rPr>
      <w:color w:val="000000"/>
    </w:rPr>
  </w:style>
  <w:style w:type="paragraph" w:styleId="ac">
    <w:name w:val="footer"/>
    <w:basedOn w:val="a"/>
    <w:link w:val="ad"/>
    <w:uiPriority w:val="99"/>
    <w:unhideWhenUsed/>
    <w:rsid w:val="003C38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3898"/>
    <w:rPr>
      <w:color w:val="000000"/>
    </w:rPr>
  </w:style>
  <w:style w:type="table" w:styleId="ae">
    <w:name w:val="Table Grid"/>
    <w:basedOn w:val="a1"/>
    <w:uiPriority w:val="39"/>
    <w:rsid w:val="003C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DB0F5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B0F53"/>
    <w:pPr>
      <w:widowControl/>
      <w:spacing w:after="160" w:line="259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1">
    <w:name w:val="Текст примечания Знак"/>
    <w:basedOn w:val="a0"/>
    <w:link w:val="af0"/>
    <w:uiPriority w:val="99"/>
    <w:rsid w:val="00DB0F53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DB0F5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B0F53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4">
    <w:name w:val="Гипертекстовая ссылка"/>
    <w:basedOn w:val="a0"/>
    <w:uiPriority w:val="99"/>
    <w:rsid w:val="007B4E54"/>
    <w:rPr>
      <w:color w:val="106BBE"/>
    </w:rPr>
  </w:style>
  <w:style w:type="paragraph" w:customStyle="1" w:styleId="af5">
    <w:name w:val="Комментарий"/>
    <w:basedOn w:val="a"/>
    <w:next w:val="a"/>
    <w:uiPriority w:val="99"/>
    <w:rsid w:val="007B4E5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bidi="ar-SA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B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5438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Бармина Татьяна Николаевна</dc:creator>
  <cp:lastModifiedBy>Гукова Жанна Анзоровна</cp:lastModifiedBy>
  <cp:revision>2</cp:revision>
  <cp:lastPrinted>2019-11-21T09:16:00Z</cp:lastPrinted>
  <dcterms:created xsi:type="dcterms:W3CDTF">2019-11-27T08:50:00Z</dcterms:created>
  <dcterms:modified xsi:type="dcterms:W3CDTF">2019-11-27T08:50:00Z</dcterms:modified>
</cp:coreProperties>
</file>